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icfi-20260507.htm"/>
      <w:bookmarkStart w:id="1" w:name="ksicfi20260507"/>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283"/>
              <w:jc w:val="left"/>
              <w:rPr>
                <w:sz w:val="4"/>
                <w:szCs w:val="4"/>
              </w:rPr>
            </w:pPr>
            <w:r>
              <w:rPr>
                <w:sz w:val="4"/>
                <w:szCs w:val="4"/>
              </w:rPr>
            </w:r>
          </w:p>
        </w:tc>
      </w:tr>
      <w:tr>
        <w:trPr/>
        <w:tc>
          <w:tcPr>
            <w:tcW w:w="5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May 07,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ICF International,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776" w:type="dxa"/>
        <w:jc w:val="left"/>
        <w:tblInd w:w="0" w:type="dxa"/>
        <w:tblLayout w:type="fixed"/>
        <w:tblCellMar>
          <w:top w:w="28" w:type="dxa"/>
          <w:left w:w="28" w:type="dxa"/>
          <w:bottom w:w="28" w:type="dxa"/>
          <w:right w:w="28" w:type="dxa"/>
        </w:tblCellMar>
      </w:tblPr>
      <w:tblGrid>
        <w:gridCol w:w="918"/>
        <w:gridCol w:w="835"/>
        <w:gridCol w:w="841"/>
        <w:gridCol w:w="1846"/>
        <w:gridCol w:w="1336"/>
      </w:tblGrid>
      <w:tr>
        <w:trPr/>
        <w:tc>
          <w:tcPr>
            <w:tcW w:w="91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001-33045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22-3661438</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1902 Reston Metro Plaza</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Reston, Virginia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20190</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703</w:t>
            </w:r>
            <w:r>
              <w:rPr>
                <w:rFonts w:ascii="Times New Roman" w:hAnsi="Times New Roman"/>
                <w:color w:val="000000"/>
                <w:sz w:val="20"/>
              </w:rPr>
              <w:t xml:space="preserve"> </w:t>
            </w:r>
            <w:r>
              <w:rPr>
                <w:rFonts w:ascii="Times New Roman" w:hAnsi="Times New Roman"/>
                <w:b/>
                <w:color w:val="000000"/>
                <w:sz w:val="20"/>
              </w:rPr>
              <w:t>934-3000</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r>
        <w:rPr>
          <w:rFonts w:ascii="Times New Roman" w:hAnsi="Times New Roman"/>
          <w:color w:val="000000"/>
          <w:sz w:val="20"/>
          <w:u w:val="single"/>
        </w:rPr>
        <w:t xml:space="preserve">(see </w:t>
      </w:r>
      <w:r>
        <w:rPr>
          <w:rFonts w:ascii="Times New Roman" w:hAnsi="Times New Roman"/>
          <w:color w:val="000000"/>
          <w:sz w:val="20"/>
        </w:rPr>
        <w:t>General Instructions A.2 below):</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6685" w:type="dxa"/>
        <w:jc w:val="left"/>
        <w:tblInd w:w="0" w:type="dxa"/>
        <w:tblLayout w:type="fixed"/>
        <w:tblCellMar>
          <w:top w:w="28" w:type="dxa"/>
          <w:left w:w="28" w:type="dxa"/>
          <w:bottom w:w="28" w:type="dxa"/>
          <w:right w:w="28" w:type="dxa"/>
        </w:tblCellMar>
      </w:tblPr>
      <w:tblGrid>
        <w:gridCol w:w="1621"/>
        <w:gridCol w:w="146"/>
        <w:gridCol w:w="946"/>
        <w:gridCol w:w="146"/>
        <w:gridCol w:w="382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ICFI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May 7, 2026, ICF International, Inc. (the “Company”) announced its financial results for the first quarter ended March 31, 2026. The press release containing this announcement is attached hereto as Exhibit 99.1.</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this report, including Exhibit 99.1, is considered to be “furnished” and shall not be deemed “filed” for purposes of Section 18 of the Securities Exchange Act of 1934, as amended (the “Exchange Act”), or otherwise subject to the liability of that section. The information in this report shall not be incorporated by reference in any filing under the Securities Act of 1933, as amended, or the Exchange Act, except as shall be expressly set forth by specific reference in such a filing.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release contains forward-looking statements regarding the Company and includes a cautionary statement identifying important factors that could cause actual result to differ materially from those anticipated.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8.01 Other Events</w:t>
      </w:r>
    </w:p>
    <w:p>
      <w:pPr>
        <w:pStyle w:val="TextBody"/>
        <w:bidi w:val="0"/>
        <w:jc w:val="left"/>
        <w:rPr>
          <w:rFonts w:ascii="Times New Roman" w:hAnsi="Times New Roman"/>
          <w:color w:val="000000"/>
          <w:sz w:val="20"/>
        </w:rPr>
      </w:pPr>
      <w:r>
        <w:rPr>
          <w:rFonts w:ascii="Times New Roman" w:hAnsi="Times New Roman"/>
          <w:color w:val="000000"/>
          <w:sz w:val="20"/>
        </w:rPr>
        <w:t>On May 7, 2026, the Company's Board of Directors declared a quarterly dividend in an amount equal to $0.14 per share. This quarterly cash dividend will be paid on July 10, 2026, to stockholders of record as of the close of business on June 5,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cash dividend policy and the payment of future cash dividends under that policy will be made at the discretion of the Company's Board of Directors and will depend on earnings, operating and financial conditions, capital requirements, and other factors deemed relevant by the Board, including the applicable requirements of the Delaware General Corporation Law and the best interests of the Company’s stockholders.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both"/>
        <w:rPr/>
      </w:pPr>
      <w:r>
        <w:rPr/>
        <w:t> </w:t>
      </w:r>
    </w:p>
    <w:tbl>
      <w:tblPr>
        <w:tblW w:w="7228" w:type="dxa"/>
        <w:jc w:val="left"/>
        <w:tblInd w:w="0" w:type="dxa"/>
        <w:tblLayout w:type="fixed"/>
        <w:tblCellMar>
          <w:top w:w="28" w:type="dxa"/>
          <w:left w:w="28" w:type="dxa"/>
          <w:bottom w:w="28" w:type="dxa"/>
          <w:right w:w="28" w:type="dxa"/>
        </w:tblCellMar>
      </w:tblPr>
      <w:tblGrid>
        <w:gridCol w:w="481"/>
        <w:gridCol w:w="146"/>
        <w:gridCol w:w="6601"/>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icfi-ex99_1.htm">
              <w:r>
                <w:rPr>
                  <w:rStyle w:val="InternetLink"/>
                  <w:rFonts w:ascii="Times New Roman" w:hAnsi="Times New Roman"/>
                  <w:color w:val="0000FF"/>
                  <w:sz w:val="20"/>
                  <w:u w:val="single"/>
                </w:rPr>
                <w:t>Press Release dated May 7, 2026</w:t>
              </w:r>
            </w:hyperlink>
          </w:p>
        </w:tc>
      </w:tr>
      <w:tr>
        <w:trPr/>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6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7453" w:type="dxa"/>
        <w:jc w:val="left"/>
        <w:tblInd w:w="0" w:type="dxa"/>
        <w:tblLayout w:type="fixed"/>
        <w:tblCellMar>
          <w:top w:w="28" w:type="dxa"/>
          <w:left w:w="28" w:type="dxa"/>
          <w:bottom w:w="28" w:type="dxa"/>
          <w:right w:w="28" w:type="dxa"/>
        </w:tblCellMar>
      </w:tblPr>
      <w:tblGrid>
        <w:gridCol w:w="706"/>
        <w:gridCol w:w="146"/>
        <w:gridCol w:w="6601"/>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cfi-ex99_1.htm">
              <w:r>
                <w:rPr>
                  <w:rStyle w:val="InternetLink"/>
                  <w:rFonts w:ascii="Times New Roman" w:hAnsi="Times New Roman"/>
                  <w:color w:val="0000FF"/>
                  <w:sz w:val="20"/>
                  <w:u w:val="single"/>
                </w:rPr>
                <w:t>Press Release dated May 7,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signatures"/>
      <w:bookmarkEnd w:id="2"/>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5467" w:type="dxa"/>
        <w:jc w:val="left"/>
        <w:tblInd w:w="0" w:type="dxa"/>
        <w:tblLayout w:type="fixed"/>
        <w:tblCellMar>
          <w:top w:w="28" w:type="dxa"/>
          <w:left w:w="28" w:type="dxa"/>
          <w:bottom w:w="28" w:type="dxa"/>
          <w:right w:w="28" w:type="dxa"/>
        </w:tblCellMar>
      </w:tblPr>
      <w:tblGrid>
        <w:gridCol w:w="1636"/>
        <w:gridCol w:w="109"/>
        <w:gridCol w:w="406"/>
        <w:gridCol w:w="3316"/>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ICF International, Inc.</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Morgan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Morgan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Operating and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3" w:name="icfi-ex99_1.htm"/>
      <w:bookmarkStart w:id="4" w:name="ksicfiex99_1"/>
      <w:bookmarkEnd w:id="3"/>
      <w:bookmarkEnd w:id="4"/>
      <w:r>
        <w:rPr>
          <w:rFonts w:ascii="Times New Roman" w:hAnsi="Times New Roman"/>
          <w:b/>
          <w:color w:val="000000"/>
          <w:sz w:val="24"/>
        </w:rPr>
        <w:t>Exhibit 99.1</w:t>
      </w:r>
      <w:r>
        <w:br w:type="page"/>
      </w:r>
    </w:p>
    <w:p>
      <w:pPr>
        <w:pStyle w:val="TextBody"/>
        <w:bidi w:val="0"/>
        <w:spacing w:before="0" w:after="120"/>
        <w:jc w:val="left"/>
        <w:rPr/>
      </w:pPr>
      <w:r>
        <w:rPr/>
        <w:drawing>
          <wp:inline distT="0" distB="0" distL="0" distR="0">
            <wp:extent cx="628650"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28650" cy="628650"/>
                    </a:xfrm>
                    <a:prstGeom prst="rect">
                      <a:avLst/>
                    </a:prstGeom>
                  </pic:spPr>
                </pic:pic>
              </a:graphicData>
            </a:graphic>
          </wp:inline>
        </w:drawing>
      </w:r>
      <w:r>
        <w:rPr>
          <w:color w:val="000000"/>
        </w:rPr>
        <w:t xml:space="preserve"> </w:t>
      </w:r>
    </w:p>
    <w:p>
      <w:pPr>
        <w:pStyle w:val="TextBody"/>
        <w:bidi w:val="0"/>
        <w:spacing w:before="0" w:after="120"/>
        <w:jc w:val="right"/>
        <w:rPr>
          <w:rFonts w:ascii="Times New Roman" w:hAnsi="Times New Roman"/>
          <w:sz w:val="20"/>
        </w:rPr>
      </w:pPr>
      <w:r>
        <w:rPr>
          <w:rFonts w:ascii="Times New Roman" w:hAnsi="Times New Roman"/>
          <w:b/>
          <w:color w:val="000000"/>
          <w:sz w:val="28"/>
        </w:rPr>
        <w:t>NEWS RELEASE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ICF Reports First Quarter 2026 Results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26"/>
        </w:rPr>
      </w:pPr>
      <w:r>
        <w:rPr>
          <w:rFonts w:ascii="Times New Roman" w:hAnsi="Times New Roman"/>
          <w:b/>
          <w:color w:val="000000"/>
          <w:sz w:val="26"/>
        </w:rPr>
        <w:t>Reaffirms Full Year Guidance for a Return to Growth in 2026</w:t>
      </w:r>
    </w:p>
    <w:p>
      <w:pPr>
        <w:pStyle w:val="TextBody"/>
        <w:bidi w:val="0"/>
        <w:jc w:val="center"/>
        <w:rPr/>
      </w:pPr>
      <w:r>
        <w:rPr/>
        <w:t> </w:t>
      </w:r>
    </w:p>
    <w:p>
      <w:pPr>
        <w:pStyle w:val="TextBody"/>
        <w:bidi w:val="0"/>
        <w:jc w:val="center"/>
        <w:rPr>
          <w:color w:val="000000"/>
        </w:rPr>
      </w:pPr>
      <w:r>
        <w:rPr>
          <w:color w:val="000000"/>
        </w:rPr>
        <w:t>―</w:t>
      </w:r>
      <w:r>
        <w:rPr>
          <w:rFonts w:ascii="Times New Roman" w:hAnsi="Times New Roman"/>
          <w:b/>
          <w:color w:val="000000"/>
          <w:sz w:val="24"/>
        </w:rPr>
        <w:t>First Quarter Revenue Performance Reflects Shift of Approximately $12 Million; Half Expected to be Recovered in Q2 and the Remainder in H2―</w:t>
      </w:r>
    </w:p>
    <w:p>
      <w:pPr>
        <w:pStyle w:val="TextBody"/>
        <w:bidi w:val="0"/>
        <w:jc w:val="center"/>
        <w:rPr/>
      </w:pPr>
      <w:r>
        <w:rPr/>
        <w:t> </w:t>
      </w:r>
    </w:p>
    <w:p>
      <w:pPr>
        <w:pStyle w:val="TextBody"/>
        <w:bidi w:val="0"/>
        <w:jc w:val="center"/>
        <w:rPr>
          <w:color w:val="000000"/>
        </w:rPr>
      </w:pPr>
      <w:r>
        <w:rPr>
          <w:color w:val="000000"/>
        </w:rPr>
        <w:t>―</w:t>
      </w:r>
      <w:r>
        <w:rPr>
          <w:rFonts w:ascii="Times New Roman" w:hAnsi="Times New Roman"/>
          <w:b/>
          <w:color w:val="000000"/>
          <w:sz w:val="24"/>
        </w:rPr>
        <w:t>Revenues From Federal Government Clients Increased 9% Sequentially―</w:t>
      </w:r>
    </w:p>
    <w:p>
      <w:pPr>
        <w:pStyle w:val="TextBody"/>
        <w:bidi w:val="0"/>
        <w:jc w:val="center"/>
        <w:rPr/>
      </w:pPr>
      <w:r>
        <w:rPr/>
        <w:t> </w:t>
      </w:r>
    </w:p>
    <w:p>
      <w:pPr>
        <w:pStyle w:val="TextBody"/>
        <w:bidi w:val="0"/>
        <w:jc w:val="center"/>
        <w:rPr>
          <w:color w:val="000000"/>
        </w:rPr>
      </w:pPr>
      <w:r>
        <w:rPr>
          <w:color w:val="000000"/>
        </w:rPr>
        <w:t>―</w:t>
      </w:r>
      <w:r>
        <w:rPr>
          <w:rFonts w:ascii="Times New Roman" w:hAnsi="Times New Roman"/>
          <w:b/>
          <w:color w:val="000000"/>
          <w:sz w:val="24"/>
        </w:rPr>
        <w:t>Delivered Strong Margin Performance―</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4"/>
        </w:rPr>
        <w:t>First Quarter Highlights:</w:t>
      </w:r>
      <w:r>
        <w:rPr>
          <w:rFonts w:ascii="Times New Roman" w:hAnsi="Times New Roman"/>
          <w:color w:val="000000"/>
          <w:sz w:val="20"/>
        </w:rPr>
        <w:t xml:space="preserve"> </w:t>
      </w:r>
    </w:p>
    <w:p>
      <w:pPr>
        <w:pStyle w:val="TextBody"/>
        <w:bidi w:val="0"/>
        <w:spacing w:before="0" w:after="160"/>
        <w:jc w:val="both"/>
        <w:rPr>
          <w:color w:val="000000"/>
        </w:rPr>
      </w:pPr>
      <w:r>
        <w:rPr>
          <w:color w:val="000000"/>
        </w:rPr>
        <w:t>•</w:t>
      </w:r>
    </w:p>
    <w:p>
      <w:pPr>
        <w:pStyle w:val="TextBody"/>
        <w:bidi w:val="0"/>
        <w:spacing w:before="0" w:after="160"/>
        <w:jc w:val="both"/>
        <w:rPr>
          <w:rFonts w:ascii="Times New Roman" w:hAnsi="Times New Roman"/>
          <w:b/>
          <w:color w:val="000000"/>
          <w:sz w:val="24"/>
        </w:rPr>
      </w:pPr>
      <w:r>
        <w:rPr>
          <w:rFonts w:ascii="Times New Roman" w:hAnsi="Times New Roman"/>
          <w:b/>
          <w:color w:val="000000"/>
          <w:sz w:val="24"/>
        </w:rPr>
        <w:t>Revenue Was $438 Million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Net Income Was $20.5 Million; GAAP EPS Was $1.12 Inclusive of $0.07 Unfavorable Tax Item</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4"/>
        </w:rPr>
        <w:t>Non-GAAP EPS</w:t>
      </w:r>
      <w:r>
        <w:rPr>
          <w:rFonts w:ascii="Times New Roman" w:hAnsi="Times New Roman"/>
          <w:b/>
          <w:color w:val="000000"/>
          <w:sz w:val="16"/>
        </w:rPr>
        <w:t>1</w:t>
      </w:r>
      <w:r>
        <w:rPr>
          <w:color w:val="000000"/>
        </w:rPr>
        <w:t xml:space="preserve"> </w:t>
      </w:r>
      <w:r>
        <w:rPr>
          <w:rFonts w:ascii="Times New Roman" w:hAnsi="Times New Roman"/>
          <w:b/>
          <w:color w:val="000000"/>
          <w:sz w:val="24"/>
        </w:rPr>
        <w:t>Was $1.50 Inclusive of $0.09 Unfavorable Tax Item</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4"/>
        </w:rPr>
        <w:t>EBITDA</w:t>
      </w:r>
      <w:r>
        <w:rPr>
          <w:rFonts w:ascii="Times New Roman" w:hAnsi="Times New Roman"/>
          <w:b/>
          <w:color w:val="000000"/>
          <w:sz w:val="16"/>
        </w:rPr>
        <w:t xml:space="preserve">1 </w:t>
      </w:r>
      <w:r>
        <w:rPr>
          <w:rFonts w:ascii="Times New Roman" w:hAnsi="Times New Roman"/>
          <w:b/>
          <w:color w:val="000000"/>
          <w:sz w:val="24"/>
        </w:rPr>
        <w:t>Was $47.3 Million; Adjusted EBITDA</w:t>
      </w:r>
      <w:r>
        <w:rPr>
          <w:rFonts w:ascii="Times New Roman" w:hAnsi="Times New Roman"/>
          <w:b/>
          <w:color w:val="000000"/>
          <w:sz w:val="16"/>
        </w:rPr>
        <w:t>1</w:t>
      </w:r>
      <w:r>
        <w:rPr>
          <w:color w:val="000000"/>
        </w:rPr>
        <w:t xml:space="preserve"> </w:t>
      </w:r>
      <w:r>
        <w:rPr>
          <w:rFonts w:ascii="Times New Roman" w:hAnsi="Times New Roman"/>
          <w:b/>
          <w:color w:val="000000"/>
          <w:sz w:val="24"/>
        </w:rPr>
        <w:t>Was $48.9 Million, or 11.2% of Total Revenues</w:t>
      </w:r>
    </w:p>
    <w:p>
      <w:pPr>
        <w:pStyle w:val="TextBody"/>
        <w:bidi w:val="0"/>
        <w:spacing w:before="0" w:after="160"/>
        <w:jc w:val="both"/>
        <w:rPr>
          <w:color w:val="000000"/>
        </w:rPr>
      </w:pPr>
      <w:r>
        <w:rPr>
          <w:color w:val="000000"/>
        </w:rPr>
        <w:t>•</w:t>
      </w:r>
    </w:p>
    <w:p>
      <w:pPr>
        <w:pStyle w:val="TextBody"/>
        <w:bidi w:val="0"/>
        <w:spacing w:before="0" w:after="160"/>
        <w:jc w:val="both"/>
        <w:rPr>
          <w:rFonts w:ascii="Times New Roman" w:hAnsi="Times New Roman"/>
          <w:b/>
          <w:color w:val="000000"/>
          <w:sz w:val="24"/>
        </w:rPr>
      </w:pPr>
      <w:r>
        <w:rPr>
          <w:rFonts w:ascii="Times New Roman" w:hAnsi="Times New Roman"/>
          <w:b/>
          <w:color w:val="000000"/>
          <w:sz w:val="24"/>
        </w:rPr>
        <w:t>Contract Awards Were $450 Million for a Quarterly Book-to-Bill Ratio of 1.03 and TTM Book-to-Bill Ratio of 1.21</w:t>
      </w:r>
    </w:p>
    <w:p>
      <w:pPr>
        <w:pStyle w:val="TextBody"/>
        <w:bidi w:val="0"/>
        <w:spacing w:before="0" w:after="16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RESTON, Va., May 7, 2026--ICF (NASDAQ: ICFI), a leading global solutions and technology provider, reported results for the first quarter ended March 31,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Management Commentary</w:t>
      </w:r>
    </w:p>
    <w:p>
      <w:pPr>
        <w:pStyle w:val="TextBody"/>
        <w:bidi w:val="0"/>
        <w:jc w:val="left"/>
        <w:rPr>
          <w:rFonts w:ascii="Times New Roman" w:hAnsi="Times New Roman"/>
          <w:sz w:val="20"/>
        </w:rPr>
      </w:pPr>
      <w:r>
        <w:rPr>
          <w:rFonts w:ascii="Times New Roman" w:hAnsi="Times New Roman"/>
          <w:color w:val="000000"/>
          <w:sz w:val="22"/>
        </w:rPr>
        <w:t>John Wasson, chair and chief executive officer, said, “We continue to execute effectively across our diversified client set, and we are pleased to report that revenues from federal government clients increased considerably on a sequential basis, in line with our expectations. Additionally, revenues from international government clients increased over 17% year-on-year, representing substantial growth tied to recent contract wins from U.K. and European Union clients.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color w:val="000000"/>
        </w:rPr>
        <w:t>“</w:t>
      </w:r>
      <w:r>
        <w:rPr>
          <w:rFonts w:ascii="Times New Roman" w:hAnsi="Times New Roman"/>
          <w:color w:val="000000"/>
          <w:sz w:val="22"/>
        </w:rPr>
        <w:t>Our total quarterly revenue performance was $12 million, lower than expected due to the timing of approximately $8 million in project work for commercial energy clients and $4 million in work for international government clients. We expect to recover those revenues—half in the second quarter and the remainder during the second half of this year—which supports our full year 2026 guidance for 3% companywide revenue growth at the midpoint.</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color w:val="000000"/>
        </w:rPr>
        <w:t>“</w:t>
      </w:r>
      <w:r>
        <w:rPr>
          <w:rFonts w:ascii="Times New Roman" w:hAnsi="Times New Roman"/>
          <w:color w:val="000000"/>
          <w:sz w:val="22"/>
        </w:rPr>
        <w:t>Gross margin advanced 10 basis points year-on-year, and adjusted EBITDA margin was 11.2%, remaining steady with 2025 levels. Margins benefited from favorable business mix together with cost management initiatives. We continued to</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2"/>
        </w:rPr>
      </w:pPr>
      <w:r>
        <w:rPr>
          <w:rFonts w:ascii="Times New Roman" w:hAnsi="Times New Roman"/>
          <w:color w:val="000000"/>
          <w:sz w:val="22"/>
        </w:rPr>
        <w:t>invest organically in key long-term growth areas, including commercial energy, disaster management and technology modernization, while maintaining our capabilities in federal health, education and social programs. The first quarter tax rate was higher than anticipated due to less than estimated equity-based deductible compensation expense. For the full year, we continue to expect a tax rate of 20.5%.</w:t>
      </w:r>
    </w:p>
    <w:p>
      <w:pPr>
        <w:pStyle w:val="TextBody"/>
        <w:bidi w:val="0"/>
        <w:jc w:val="left"/>
        <w:rPr/>
      </w:pPr>
      <w:r>
        <w:rPr/>
        <w:t> </w:t>
      </w:r>
    </w:p>
    <w:p>
      <w:pPr>
        <w:pStyle w:val="TextBody"/>
        <w:bidi w:val="0"/>
        <w:jc w:val="left"/>
        <w:rPr/>
      </w:pPr>
      <w:r>
        <w:rPr>
          <w:color w:val="000000"/>
        </w:rPr>
        <w:t>“</w:t>
      </w:r>
      <w:r>
        <w:rPr>
          <w:rFonts w:ascii="Times New Roman" w:hAnsi="Times New Roman"/>
          <w:color w:val="000000"/>
          <w:sz w:val="22"/>
        </w:rPr>
        <w:t>This was a solid quarter of contract awards for ICF. We were awarded $450 million in contracts, representing a quarterly book-to-bill ratio of 1.03 and a trailing twelve-month book-to-bill ratio of 1.21. New business represented approximately 65% of this quarter’s awards, demonstrating how well ICF’s capabilities are aligned with client demand. Our business development pipeline stood at $8.5 billion at the end of the first quarter, and we are encouraged by the pace of bid and proposal activity.”</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First Quarter Business Highlights in Key Growth Markets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ICF reported 8.6% sequential growth in revenues from federal government clients, which, as expected, was primarily driven by the strength of the company’s technology modernization</w:t>
      </w:r>
      <w:r>
        <w:rPr>
          <w:rFonts w:ascii="Times New Roman" w:hAnsi="Times New Roman"/>
          <w:color w:val="000000"/>
          <w:sz w:val="20"/>
        </w:rPr>
        <w:t xml:space="preserve"> </w:t>
      </w:r>
      <w:r>
        <w:rPr>
          <w:rFonts w:ascii="Times New Roman" w:hAnsi="Times New Roman"/>
          <w:color w:val="000000"/>
          <w:sz w:val="22"/>
        </w:rPr>
        <w:t>work. Over 80% of ICF’s technology modernization work is performed under outcome-based, fixed price contracts. The company continues to expect its federal government revenues to increase sequentially in the second and third quarters of this year and show year-over-year growth in the 2026 fourth quarter.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ICF continues to experience strong underlying demand from utility clients for its market-leading energy efficiency, flexible load management, electrification, affordability and grid optimization programs. ICF ended 2025 with a 35% market share in residential energy efficiency and related programs for utilities and is approaching a 20% share of the commercial and industrial energy efficiency space. Commercial energy revenues increased 2% from last year’s first quarter, constrained by the timing of approximately $8 million in project work under fixed price contracts. The company expects to recover one-half of this amount in the second quarter and the remainder in the second half of this year.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State and local government revenues</w:t>
      </w:r>
      <w:r>
        <w:rPr>
          <w:rFonts w:ascii="Times New Roman" w:hAnsi="Times New Roman"/>
          <w:color w:val="000000"/>
          <w:sz w:val="20"/>
        </w:rPr>
        <w:t xml:space="preserve"> </w:t>
      </w:r>
      <w:r>
        <w:rPr>
          <w:rFonts w:ascii="Times New Roman" w:hAnsi="Times New Roman"/>
          <w:color w:val="000000"/>
          <w:sz w:val="22"/>
        </w:rPr>
        <w:t>were flat year-on-year for the first quarter; we expect mid-single digit growth for the full year. ICF is a recognized leader in the development and implementation of disaster recovery and mitigation programs, which represents approximately 45% of this client category. In the first quarter ICF supported over 75 active disaster recovery programs in 22 states and territories and views the disaster management market as a driver of long-term growth. Additionally, we have expanded the offerings we provide to our state and local clients to include advanced technology solutions and services.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First Quarter 2026 Financial Results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First quarter 2026 total revenue was $437.5 million, compared to $487.6 million reported in the first quarter of 2025. Subcontractor and other direct costs were 23.5% of total revenues, compared to 22.7% in last year’s first quarter. Gross margin was 38.1%, 10 basis points above the prior year period. Operating income was $34.9 million, with an operating margin on total revenue of 8.0%, compared to operating income of $38.4 million, with an operating margin of 7.9% in the prior year period. Net income totaled $20.5 million, versus $26.9 million reported in the first quarter of 2025. Diluted EPS was $1.12 per share, compared to $1.44 per share in the comparable prior year period. GAAP EPS included a $0.07 unfavorable impact from a discrete tax item related to equity-based compensation. This contributed to a higher than expected effective tax rate of 25.1% in the 2026 first quarter. In last year’s first quarter the tax rate was 10.5%, inclusive of a one-time tax benefit.</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Non-GAAP EPS totaled $1.50 per share, compared to $1.94 per share reported in the comparable period in 2025. Non-GAAP EPS included a $0.09 unfavorable impact from the equity-based compensation tax item. EBITDA was $47.3 million, compared to $52.1 million reported in the year-ago quarter. Adjusted EBITDA was $48.9 million, and Adjusted EBITDA margin on total revenues was 11.2%, compared to 11.3% in the first quarter of 2025.</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Backlog and New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Total backlog was $3.4 billion at the end of the first quarter 2026. Funded backlog was $1.7 billion, or approximately 51% of the total backlog. The total value of contracts awarded in the 2026 first quarter was $450 million for a quarterly book to bill ratio of 1.03 and trailing twelve-month contract awards totaled $2.2 billion for a book-to-bill ratio of 1.21.</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Commercial Revenue First Quarter 2026 Highlights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Commercial revenue was $146.3</w:t>
      </w:r>
      <w:r>
        <w:rPr>
          <w:rFonts w:ascii="Times New Roman" w:hAnsi="Times New Roman"/>
          <w:color w:val="000000"/>
          <w:sz w:val="20"/>
        </w:rPr>
        <w:t xml:space="preserve"> </w:t>
      </w:r>
      <w:r>
        <w:rPr>
          <w:rFonts w:ascii="Times New Roman" w:hAnsi="Times New Roman"/>
          <w:color w:val="000000"/>
          <w:sz w:val="22"/>
        </w:rPr>
        <w:t>million during the quarter.</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Commercial revenue accounted for 33.4% of total revenue up from 29.6% of total revenue in the 2025 first quarter.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Commercial energy revenue, which includes energy efficiency programs, increased 1.9% and represented 87.7% of commercial revenue.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Key Commercial Contracts Awarded in the First Quarter of 2026</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Notable commercial awards won in the first quarter of 2026 included:</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 recompete contract with a Northeastern U.S. utility to implement energy efficiency and demand response programs across its residential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 new contract with a Northeastern U.S. utility to support its FEMA hazard mitigation programs, including technical, financial and program management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 contract extension with an Eastern U.S. utility to provide marketing and customer engagement services supporting its energy efficiency and energy management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 new contract with a Southwestern U.S. utility to provide residential energy efficiency assessments and related program delivery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 recompete subcontract to support a Midwestern U.S. utility's residential multifamily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 contract modification with a Northeastern U.S. utility to continue serving as its marketing agency of record and supporting its customer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 subcontract modification with a Midwestern U.S. utility to support its residential retail energy efficiency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Two contract modifications with two Mid-Atlantic U.S. utilities to provide marketing and customer engagement services supporting its energy efficiency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 contract modification with a Southern U.S. utility to provide program implementation and customer engagement services for its electric technology program.</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Government Revenue First Quarter 2026 Highlights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Revenue from government clients was $291.2 million during the quarter.</w:t>
      </w:r>
    </w:p>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U.S. federal government revenue was $182.3 million, down 23.7% compared to the $239.0 million reported in the year-ago first quarter, and 8.6% above the $167.8 million in the fourth quarter of 2025. Year-on-year revenue comparisons were impacted by contract cancellations that occurred between February and May of last year, and a slower pace of new RFPs in 2025. Federal government revenue accounted for 41.7% of total revenue, compared to 49.0% of total revenue in the first quarter of 2025.</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2"/>
        </w:rPr>
        <w:t>U.S. state and local government revenue was $77.0</w:t>
      </w:r>
      <w:r>
        <w:rPr>
          <w:color w:val="000000"/>
        </w:rPr>
        <w:t xml:space="preserve"> </w:t>
      </w:r>
      <w:r>
        <w:rPr>
          <w:rFonts w:ascii="Times New Roman" w:hAnsi="Times New Roman"/>
          <w:color w:val="000000"/>
          <w:sz w:val="22"/>
        </w:rPr>
        <w:t xml:space="preserve">million, in-line with the $77.1 million reported in the year-ago quarter. State and local government clients represented 17.6% of total revenue, up from 15.8% in the first quarter of 2025.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International government revenue was $31.8 million, up 17.5% from the $27.1 million reported in the year-ago quarter. International government revenue represented 7.3% of total revenue, compared to 5.6% in the first quarter of 2025.</w:t>
      </w:r>
    </w:p>
    <w:p>
      <w:pPr>
        <w:pStyle w:val="TextBody"/>
        <w:bidi w:val="0"/>
        <w:spacing w:before="0" w:after="16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Key Government Contracts Awarded in the First Quarter of 2026</w:t>
      </w:r>
    </w:p>
    <w:p>
      <w:pPr>
        <w:pStyle w:val="TextBody"/>
        <w:bidi w:val="0"/>
        <w:jc w:val="left"/>
        <w:rPr/>
      </w:pPr>
      <w:r>
        <w:rPr/>
        <w:t> </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Notable government contract awards won in the first quarter of 2026 included: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A contract with a value of $23.0 million to provide health data analytics and surveillance system support services for a federal health agency.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Five contract modifications with a combined value of $17.1 million with the U.S. Centers for Medicare and Medicaid Services to continue to provide technology modernization services for its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 new contract with a value of $14.2 million under a General Services Administration blanket purchase agreement with a U.S. federal agency to provide data analytics and analytical support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 recompete contract with a ceiling value of $15.7 million to provide rulemaking support services to the U.S. Department of Labor (DOL) Employment and Training Administration and other DOL agencies.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 recompete contract with a value of $13.9 million with a state transportation agency to support development and implementation of policies and procedures related to environmental compliance.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 new contract with a value of $8.3 million under a blanket purchase agreement with the Defense Counterintelligence and Security Agency to provide data management and system support services.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Dividend Declaration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On May 7, 2026, ICF declared a quarterly cash dividend of $0.14</w:t>
      </w:r>
      <w:r>
        <w:rPr>
          <w:rFonts w:ascii="Times New Roman" w:hAnsi="Times New Roman"/>
          <w:color w:val="000000"/>
          <w:sz w:val="20"/>
        </w:rPr>
        <w:t xml:space="preserve"> </w:t>
      </w:r>
      <w:r>
        <w:rPr>
          <w:rFonts w:ascii="Times New Roman" w:hAnsi="Times New Roman"/>
          <w:color w:val="000000"/>
          <w:sz w:val="22"/>
        </w:rPr>
        <w:t>per share, payable on July 10, 2026,to shareholders of record on June 5,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Summary and Outlook</w:t>
      </w:r>
      <w:r>
        <w:rPr>
          <w:rFonts w:ascii="Times New Roman" w:hAnsi="Times New Roman"/>
          <w:color w:val="000000"/>
          <w:sz w:val="20"/>
        </w:rPr>
        <w:t xml:space="preserve"> </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2"/>
        </w:rPr>
        <w:t>ICF exited 2025 as a more diversified, more efficient and more agile company, and we continue to effectively execute our strategy and position the company to capture growth opportunities in our key growth markets, while pursuing new business that aligns with our cross-cutting capabilities in technology, program management and engagement.</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2"/>
        </w:rPr>
        <w:t>We are pleased to reaffirm our guidance for a return to revenue and EPS growth in 2026, with our revenues expected to range from $1.89 billion to $1.96 billion, representing 3% growth at the midpoint, GAAP EPS from $5.95 to $6.25 and Non-GAAP EPS from $6.95 to $7.25, or 5% growth at the midpoint. These expectations anticipate double-digit growth from our non-federal government clients, led by commercial energy, bringing non-federal revenues to over 60% of ICF’s total 2026 revenues, and also anticipate a return to year-on-year growth in certain parts of our federal government business. We expect operating cash flow to range from $135 million to $150 million.</w:t>
      </w:r>
    </w:p>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color w:val="000000"/>
        </w:rPr>
      </w:pPr>
      <w:r>
        <w:rPr>
          <w:color w:val="000000"/>
        </w:rPr>
        <w:t>“</w:t>
      </w:r>
      <w:r>
        <w:rPr>
          <w:rFonts w:ascii="Times New Roman" w:hAnsi="Times New Roman"/>
          <w:color w:val="000000"/>
          <w:sz w:val="22"/>
        </w:rPr>
        <w:t>Demonstrating our confidence in ICF’s long-term prospects, we repurchased 217,500 shares in the first quarter. As we look to the future, we are well positioned to capture more than our fair share of opportunities in our key growth markets which we expect will enable us to return to mid to high single digit growth in 2027 and continued growth beyond. Underpinning this confidence is the dedication of our professional staff to ICF and our clients, which has long been a growth driver for our company as well as a source of resilience,” Mr. Wasson concluded.</w:t>
      </w:r>
    </w:p>
    <w:p>
      <w:pPr>
        <w:pStyle w:val="TextBody"/>
        <w:bidi w:val="0"/>
        <w:jc w:val="left"/>
        <w:rPr/>
      </w:pPr>
      <w:r>
        <w:rPr/>
        <w:t> </w:t>
      </w:r>
    </w:p>
    <w:p>
      <w:pPr>
        <w:pStyle w:val="TextBody"/>
        <w:bidi w:val="0"/>
        <w:spacing w:before="0" w:after="160"/>
        <w:jc w:val="left"/>
        <w:rPr/>
      </w:pPr>
      <w:r>
        <w:rPr/>
        <w:t> </w:t>
      </w:r>
    </w:p>
    <w:p>
      <w:pPr>
        <w:pStyle w:val="TextBody"/>
        <w:bidi w:val="0"/>
        <w:jc w:val="left"/>
        <w:rPr/>
      </w:pPr>
      <w:r>
        <w:rPr/>
        <w:t> </w:t>
      </w:r>
    </w:p>
    <w:p>
      <w:pPr>
        <w:pStyle w:val="TextBody"/>
        <w:bidi w:val="0"/>
        <w:spacing w:before="0" w:after="160"/>
        <w:jc w:val="left"/>
        <w:rPr>
          <w:rFonts w:ascii="Times New Roman" w:hAnsi="Times New Roman"/>
          <w:sz w:val="20"/>
        </w:rPr>
      </w:pPr>
      <w:r>
        <w:rPr>
          <w:rFonts w:ascii="Times New Roman" w:hAnsi="Times New Roman"/>
          <w:color w:val="000000"/>
          <w:sz w:val="12"/>
        </w:rPr>
        <w:t>1</w:t>
      </w:r>
      <w:r>
        <w:rPr>
          <w:rFonts w:ascii="Times New Roman" w:hAnsi="Times New Roman"/>
          <w:color w:val="000000"/>
          <w:sz w:val="20"/>
        </w:rPr>
        <w:t xml:space="preserve"> </w:t>
      </w:r>
      <w:r>
        <w:rPr>
          <w:rFonts w:ascii="Times New Roman" w:hAnsi="Times New Roman"/>
          <w:color w:val="000000"/>
          <w:sz w:val="18"/>
        </w:rPr>
        <w:t>Non-GAAP EPS, EBITDA and Adjusted EBITDA are non-GAAP measurements. A reconciliation of all non-GAAP measurements to the most applicable GAAP number is set forth below. Special charges are items that were included within our consolidated statements of comprehensive income but are not indicative of ongoing performance and have been presented net of applicable U.S. GAAP taxes. The presentation of non-GAAP measurements may not be comparable to other similarly titled measures used by other companies.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18"/>
        </w:rPr>
        <w:t>About ICF</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8"/>
        </w:rPr>
        <w:t xml:space="preserve">ICF is a leading global solutions and technology provider. At ICF, business analysts and policy specialists work together with digital strategists, data scientists and creatives. We combine unmatched industry expertise with cutting-edge engagement capabilities to help organizations solve their most complex challenges. Since 1969, public and private sector clients have worked with ICF to navigate change and shape the future. Learn more at </w:t>
      </w:r>
      <w:r>
        <w:rPr>
          <w:rFonts w:ascii="Times New Roman" w:hAnsi="Times New Roman"/>
          <w:color w:val="0000FF"/>
          <w:sz w:val="18"/>
          <w:u w:val="single"/>
        </w:rPr>
        <w:t>icf.com</w:t>
      </w:r>
      <w:r>
        <w:rPr>
          <w:rFonts w:ascii="Times New Roman" w:hAnsi="Times New Roman"/>
          <w:color w:val="000000"/>
          <w:sz w:val="18"/>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18"/>
        </w:rPr>
        <w:t>Caution Concerning Forward-looking Statements</w:t>
      </w:r>
      <w:r>
        <w:rPr>
          <w:rFonts w:ascii="Times New Roman" w:hAnsi="Times New Roman"/>
          <w:color w:val="000000"/>
          <w:sz w:val="20"/>
        </w:rPr>
        <w:t xml:space="preserve"> </w:t>
      </w:r>
    </w:p>
    <w:p>
      <w:pPr>
        <w:pStyle w:val="TextBody"/>
        <w:bidi w:val="0"/>
        <w:jc w:val="left"/>
        <w:rPr>
          <w:rFonts w:ascii="Times New Roman" w:hAnsi="Times New Roman"/>
          <w:i/>
          <w:color w:val="000000"/>
          <w:sz w:val="18"/>
        </w:rPr>
      </w:pPr>
      <w:r>
        <w:rPr>
          <w:rFonts w:ascii="Times New Roman" w:hAnsi="Times New Roman"/>
          <w:i/>
          <w:color w:val="000000"/>
          <w:sz w:val="18"/>
        </w:rPr>
        <w:t>Statements that are not historical facts and involve known and unknown risks and uncertainties are "forward-looking statements" as defined in the Private Securities Litigation Reform Act of 1995. Such statements may concern our current expectations about our future results, plans, operations and prospects and involve certain risks, including those related to the government contracting industry generally; our particular business, including our dependence on contracts with U.S. federal government agencies; and our ability to acquire and successfully integrate businesses. These and other factors that could cause our actual results to differ from those indicated in forward-looking statements that are included in the "Risk Factors" section of our securities filings with the Securities and Exchange Commission. The forward-looking statements included herein are only made as of the date hereof, and we specifically disclaim any obligation to update these statements in the future.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Note on Forward-Looking Non-GAAP Measures</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The company does not reconcile its forward-looking non-GAAP financial measures to the corresponding U.S. GAAP measures, due to the variability and difficulty in making accurate forecasts and projections and because not all of the information necessary for a quantitative reconciliation of these forward-looking non-GAAP financial measures (such as the effect of share-based compensation or the impact of future extraordinary or non-recurring events like acquisitions) is available to the company without unreasonable effort. For the same reasons, the company is unable to estimate the probable significance of the unavailable information. The company provides forward-looking non-GAAP financial measures that it believes will be achievable, but it cannot accurately predict all of the components of the adjusted calculations, and the U.S. GAAP financial measures may be materially different than the non-GAAP financial measures.</w:t>
      </w:r>
    </w:p>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Times New Roman" w:hAnsi="Times New Roman"/>
          <w:b/>
          <w:color w:val="000000"/>
          <w:sz w:val="22"/>
        </w:rPr>
        <w:t>Investor Contacts: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2"/>
        </w:rPr>
        <w:t>Lynn Morgen, ADVIS</w:t>
      </w:r>
      <w:r>
        <w:rPr>
          <w:rFonts w:ascii="Times New Roman" w:hAnsi="Times New Roman"/>
          <w:b/>
          <w:color w:val="808080"/>
          <w:sz w:val="22"/>
        </w:rPr>
        <w:t>IR</w:t>
      </w:r>
      <w:r>
        <w:rPr>
          <w:rFonts w:ascii="Times New Roman" w:hAnsi="Times New Roman"/>
          <w:b/>
          <w:color w:val="000000"/>
          <w:sz w:val="22"/>
        </w:rPr>
        <w:t xml:space="preserve">Y PARTNERS, </w:t>
      </w:r>
      <w:r>
        <w:rPr>
          <w:rFonts w:ascii="Times New Roman" w:hAnsi="Times New Roman"/>
          <w:b/>
          <w:color w:val="0000FF"/>
          <w:sz w:val="22"/>
          <w:u w:val="single"/>
        </w:rPr>
        <w:t>lynn.morgen@advisiry.com</w:t>
      </w:r>
      <w:r>
        <w:rPr>
          <w:rFonts w:ascii="Times New Roman" w:hAnsi="Times New Roman"/>
          <w:color w:val="000000"/>
          <w:sz w:val="20"/>
        </w:rPr>
        <w:t xml:space="preserve"> </w:t>
      </w:r>
      <w:r>
        <w:rPr>
          <w:rFonts w:ascii="Times New Roman" w:hAnsi="Times New Roman"/>
          <w:b/>
          <w:color w:val="000000"/>
          <w:sz w:val="22"/>
        </w:rPr>
        <w:t>+1.212.750.5800</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2"/>
        </w:rPr>
        <w:t>David Gold, ADVIS</w:t>
      </w:r>
      <w:r>
        <w:rPr>
          <w:rFonts w:ascii="Times New Roman" w:hAnsi="Times New Roman"/>
          <w:b/>
          <w:color w:val="808080"/>
          <w:sz w:val="22"/>
        </w:rPr>
        <w:t>IR</w:t>
      </w:r>
      <w:r>
        <w:rPr>
          <w:rFonts w:ascii="Times New Roman" w:hAnsi="Times New Roman"/>
          <w:b/>
          <w:color w:val="000000"/>
          <w:sz w:val="22"/>
        </w:rPr>
        <w:t xml:space="preserve">Y PARTNERS, </w:t>
      </w:r>
      <w:r>
        <w:rPr>
          <w:rFonts w:ascii="Times New Roman" w:hAnsi="Times New Roman"/>
          <w:b/>
          <w:color w:val="0000FF"/>
          <w:sz w:val="22"/>
          <w:u w:val="single"/>
        </w:rPr>
        <w:t>david.gold@advisiry.com</w:t>
      </w:r>
      <w:r>
        <w:rPr>
          <w:rFonts w:ascii="Times New Roman" w:hAnsi="Times New Roman"/>
          <w:color w:val="000000"/>
          <w:sz w:val="20"/>
        </w:rPr>
        <w:t xml:space="preserve"> </w:t>
      </w:r>
      <w:r>
        <w:rPr>
          <w:rFonts w:ascii="Times New Roman" w:hAnsi="Times New Roman"/>
          <w:b/>
          <w:color w:val="000000"/>
          <w:sz w:val="22"/>
        </w:rPr>
        <w:t>+1.212.750.5800</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Company Information Contact:</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color w:val="000000"/>
          <w:sz w:val="22"/>
        </w:rPr>
        <w:t xml:space="preserve">Lauren Dyke, ICF, </w:t>
      </w:r>
      <w:r>
        <w:rPr>
          <w:rFonts w:ascii="Times New Roman" w:hAnsi="Times New Roman"/>
          <w:b/>
          <w:color w:val="0000FF"/>
          <w:sz w:val="22"/>
          <w:u w:val="single"/>
        </w:rPr>
        <w:t>lauren.dyke@ICF.com</w:t>
      </w:r>
      <w:r>
        <w:rPr>
          <w:rFonts w:ascii="Times New Roman" w:hAnsi="Times New Roman"/>
          <w:b/>
          <w:color w:val="000000"/>
          <w:sz w:val="22"/>
        </w:rPr>
        <w:t>+1.571.373.5577</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6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4"/>
        </w:rPr>
      </w:pPr>
      <w:r>
        <w:rPr>
          <w:rFonts w:ascii="Times New Roman" w:hAnsi="Times New Roman"/>
          <w:b/>
          <w:color w:val="000000"/>
          <w:sz w:val="24"/>
        </w:rPr>
        <w:t>ICF International, Inc. and Subsidiaries</w:t>
      </w:r>
    </w:p>
    <w:p>
      <w:pPr>
        <w:pStyle w:val="TextBody"/>
        <w:bidi w:val="0"/>
        <w:jc w:val="center"/>
        <w:rPr>
          <w:rFonts w:ascii="Times New Roman" w:hAnsi="Times New Roman"/>
          <w:b/>
          <w:color w:val="000000"/>
          <w:sz w:val="24"/>
        </w:rPr>
      </w:pPr>
      <w:r>
        <w:rPr>
          <w:rFonts w:ascii="Times New Roman" w:hAnsi="Times New Roman"/>
          <w:b/>
          <w:color w:val="000000"/>
          <w:sz w:val="24"/>
        </w:rPr>
        <w:t>Consolidated Statements of Comprehensive Income</w:t>
      </w:r>
    </w:p>
    <w:p>
      <w:pPr>
        <w:pStyle w:val="TextBody"/>
        <w:bidi w:val="0"/>
        <w:jc w:val="center"/>
        <w:rPr>
          <w:rFonts w:ascii="Times New Roman" w:hAnsi="Times New Roman"/>
          <w:b/>
          <w:color w:val="000000"/>
          <w:sz w:val="24"/>
        </w:rPr>
      </w:pPr>
      <w:r>
        <w:rPr>
          <w:rFonts w:ascii="Times New Roman" w:hAnsi="Times New Roman"/>
          <w:b/>
          <w:color w:val="000000"/>
          <w:sz w:val="24"/>
        </w:rPr>
        <w:t>(Unaudited)</w:t>
      </w:r>
    </w:p>
    <w:p>
      <w:pPr>
        <w:pStyle w:val="TextBody"/>
        <w:bidi w:val="0"/>
        <w:jc w:val="left"/>
        <w:rPr/>
      </w:pPr>
      <w:r>
        <w:rPr/>
        <w:t> </w:t>
      </w:r>
    </w:p>
    <w:tbl>
      <w:tblPr>
        <w:tblW w:w="5919" w:type="dxa"/>
        <w:jc w:val="left"/>
        <w:tblInd w:w="0" w:type="dxa"/>
        <w:tblLayout w:type="fixed"/>
        <w:tblCellMar>
          <w:top w:w="28" w:type="dxa"/>
          <w:left w:w="28" w:type="dxa"/>
          <w:bottom w:w="28" w:type="dxa"/>
          <w:right w:w="28" w:type="dxa"/>
        </w:tblCellMar>
      </w:tblPr>
      <w:tblGrid>
        <w:gridCol w:w="3296"/>
        <w:gridCol w:w="146"/>
        <w:gridCol w:w="196"/>
        <w:gridCol w:w="691"/>
        <w:gridCol w:w="166"/>
        <w:gridCol w:w="146"/>
        <w:gridCol w:w="196"/>
        <w:gridCol w:w="691"/>
        <w:gridCol w:w="391"/>
      </w:tblGrid>
      <w:tr>
        <w:trPr/>
        <w:tc>
          <w:tcPr>
            <w:tcW w:w="3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(in thousands, except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487,618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302,542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Indirect and selling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131,891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14,795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132,007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146,686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38,390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(7,337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26,851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Weighted-average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18,506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18,613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Cash dividends declared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24,138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2"/>
        </w:rPr>
      </w:pPr>
      <w:r>
        <w:rPr>
          <w:rFonts w:ascii="Times New Roman" w:hAnsi="Times New Roman"/>
          <w:b/>
          <w:color w:val="000000"/>
          <w:sz w:val="22"/>
        </w:rPr>
        <w:t>ICF International, Inc. and Subsidiaries</w:t>
      </w:r>
    </w:p>
    <w:p>
      <w:pPr>
        <w:pStyle w:val="TextBody"/>
        <w:bidi w:val="0"/>
        <w:jc w:val="center"/>
        <w:rPr>
          <w:rFonts w:ascii="Times New Roman" w:hAnsi="Times New Roman"/>
          <w:sz w:val="20"/>
        </w:rPr>
      </w:pPr>
      <w:r>
        <w:rPr>
          <w:rFonts w:ascii="Times New Roman" w:hAnsi="Times New Roman"/>
          <w:b/>
          <w:color w:val="000000"/>
          <w:sz w:val="22"/>
        </w:rPr>
        <w:t>Reconciliation of Non-GAAP Financial Measures</w:t>
      </w:r>
      <w:r>
        <w:rPr>
          <w:rFonts w:ascii="Times New Roman" w:hAnsi="Times New Roman"/>
          <w:b/>
          <w:color w:val="000000"/>
          <w:sz w:val="15"/>
        </w:rPr>
        <w:t>(2)</w:t>
      </w:r>
    </w:p>
    <w:p>
      <w:pPr>
        <w:pStyle w:val="TextBody"/>
        <w:bidi w:val="0"/>
        <w:jc w:val="center"/>
        <w:rPr>
          <w:rFonts w:ascii="Times New Roman" w:hAnsi="Times New Roman"/>
          <w:b/>
          <w:color w:val="000000"/>
          <w:sz w:val="22"/>
        </w:rPr>
      </w:pPr>
      <w:r>
        <w:rPr>
          <w:rFonts w:ascii="Times New Roman" w:hAnsi="Times New Roman"/>
          <w:b/>
          <w:color w:val="000000"/>
          <w:sz w:val="22"/>
        </w:rPr>
        <w:t>(Unaudited)</w:t>
      </w:r>
    </w:p>
    <w:p>
      <w:pPr>
        <w:pStyle w:val="TextBody"/>
        <w:bidi w:val="0"/>
        <w:jc w:val="left"/>
        <w:rPr/>
      </w:pPr>
      <w:r>
        <w:rPr/>
        <w:t> </w:t>
      </w:r>
    </w:p>
    <w:tbl>
      <w:tblPr>
        <w:tblW w:w="9654" w:type="dxa"/>
        <w:jc w:val="left"/>
        <w:tblInd w:w="0" w:type="dxa"/>
        <w:tblLayout w:type="fixed"/>
        <w:tblCellMar>
          <w:top w:w="28" w:type="dxa"/>
          <w:left w:w="28" w:type="dxa"/>
          <w:bottom w:w="28" w:type="dxa"/>
          <w:right w:w="28" w:type="dxa"/>
        </w:tblCellMar>
      </w:tblPr>
      <w:tblGrid>
        <w:gridCol w:w="6601"/>
        <w:gridCol w:w="146"/>
        <w:gridCol w:w="211"/>
        <w:gridCol w:w="676"/>
        <w:gridCol w:w="271"/>
        <w:gridCol w:w="146"/>
        <w:gridCol w:w="211"/>
        <w:gridCol w:w="676"/>
        <w:gridCol w:w="716"/>
      </w:tblGrid>
      <w:tr>
        <w:trPr/>
        <w:tc>
          <w:tcPr>
            <w:tcW w:w="6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(in thousands, except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u w:val="single"/>
              </w:rPr>
              <w:t xml:space="preserve">Reconciliation of EBITDA and Adjusted EBITDA </w:t>
            </w:r>
            <w:r>
              <w:rPr>
                <w:rFonts w:ascii="Times New Roman" w:hAnsi="Times New Roman"/>
                <w:b/>
                <w:color w:val="000000"/>
                <w:sz w:val="13"/>
                <w:u w:val="single"/>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26,851</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7,337</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14,795</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47,279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52,133</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Acquisition and divestiture-related expenses </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Severance and other costs related to staff realignment </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Charges and adjustments related to facility consolidations and office closures </w:t>
            </w:r>
            <w:r>
              <w:rPr>
                <w:rFonts w:ascii="Times New Roman" w:hAnsi="Times New Roman"/>
                <w:color w:val="000000"/>
                <w:sz w:val="13"/>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3,065</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55,198</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Income Margin Percent on Revenue </w:t>
            </w: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EBITDA Margin Percent on Revenue </w:t>
            </w:r>
            <w:r>
              <w:rPr>
                <w:rFonts w:ascii="Times New Roman" w:hAnsi="Times New Roman"/>
                <w:color w:val="000000"/>
                <w:sz w:val="13"/>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Adjusted EBITDA Margin Percent on Revenue </w:t>
            </w:r>
            <w:r>
              <w:rPr>
                <w:rFonts w:ascii="Times New Roman" w:hAnsi="Times New Roman"/>
                <w:color w:val="000000"/>
                <w:sz w:val="13"/>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u w:val="single"/>
              </w:rPr>
              <w:t xml:space="preserve">Reconciliation of Non-GAAP Diluted EPS </w:t>
            </w:r>
            <w:r>
              <w:rPr>
                <w:rFonts w:ascii="Times New Roman" w:hAnsi="Times New Roman"/>
                <w:b/>
                <w:color w:val="000000"/>
                <w:sz w:val="13"/>
                <w:u w:val="single"/>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GAAP Diluted EPS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and divestiture-related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Severance and other costs related to staff realignment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Charges and adjustments related to facility consolidations and office closures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Amortization of intangible assets acquired in business combinations </w:t>
            </w:r>
            <w:r>
              <w:rPr>
                <w:rFonts w:ascii="Times New Roman" w:hAnsi="Times New Roman"/>
                <w:color w:val="000000"/>
                <w:sz w:val="13"/>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Income tax effects of the adjustments </w:t>
            </w:r>
            <w:r>
              <w:rPr>
                <w:rFonts w:ascii="Times New Roman" w:hAnsi="Times New Roman"/>
                <w:color w:val="000000"/>
                <w:sz w:val="13"/>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Non-GAAP Diluted EPS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2257"/>
        <w:gridCol w:w="1842"/>
        <w:gridCol w:w="1842"/>
        <w:gridCol w:w="1842"/>
        <w:gridCol w:w="2422"/>
      </w:tblGrid>
      <w:tr>
        <w:trPr/>
        <w:tc>
          <w:tcPr>
            <w:tcW w:w="2257"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2422"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 These tables provide reconciliations of Non-GAAP financial measures to the most applicable U.S. GAAP numbers. While we believe that these Non-GAAP financial measures may be useful in evaluating our financial information, they should be considered supplemental in nature and not as a substitute for financial information prepared in accordance with U.S. GAAP. Other companies may define similarly titled Non-GAAP measures differently and, accordingly, care should be exercised in understanding how we define these measures.</w:t>
            </w:r>
          </w:p>
        </w:tc>
      </w:tr>
      <w:tr>
        <w:trPr/>
        <w:tc>
          <w:tcPr>
            <w:tcW w:w="2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(3)</w:t>
            </w:r>
            <w:r>
              <w:rPr>
                <w:rFonts w:ascii="Times New Roman" w:hAnsi="Times New Roman"/>
                <w:color w:val="000000"/>
                <w:sz w:val="20"/>
              </w:rPr>
              <w:t> Reconciliations of EBITDA, Adjusted EBITDA, and Non-GAAP Diluted EPS were calculated using numbers as reported in U.S. GAAP.</w:t>
            </w:r>
          </w:p>
        </w:tc>
      </w:tr>
      <w:tr>
        <w:trPr/>
        <w:tc>
          <w:tcPr>
            <w:tcW w:w="2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 xml:space="preserve">(4) </w:t>
            </w:r>
            <w:r>
              <w:rPr>
                <w:rFonts w:ascii="Times New Roman" w:hAnsi="Times New Roman"/>
                <w:color w:val="000000"/>
                <w:sz w:val="20"/>
              </w:rPr>
              <w:t>These are primarily third-party costs related to potential and/or closed acquisitions and integration of closed acquisitions.</w:t>
            </w:r>
          </w:p>
        </w:tc>
      </w:tr>
      <w:tr>
        <w:trPr/>
        <w:tc>
          <w:tcPr>
            <w:tcW w:w="2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 xml:space="preserve">(5) </w:t>
            </w:r>
            <w:r>
              <w:rPr>
                <w:rFonts w:ascii="Times New Roman" w:hAnsi="Times New Roman"/>
                <w:color w:val="000000"/>
                <w:sz w:val="20"/>
              </w:rPr>
              <w:t>These costs are due to involuntary employee termination benefits for (i) our officers and (ii) group of employees who have been notified that they will be terminated as part of a business reorganization or exit.</w:t>
            </w:r>
          </w:p>
        </w:tc>
      </w:tr>
      <w:tr>
        <w:trPr/>
        <w:tc>
          <w:tcPr>
            <w:tcW w:w="2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(6)</w:t>
            </w:r>
            <w:r>
              <w:rPr>
                <w:rFonts w:ascii="Times New Roman" w:hAnsi="Times New Roman"/>
                <w:color w:val="000000"/>
                <w:sz w:val="20"/>
              </w:rPr>
              <w:t> These charges and adjustments are related to previously exited leased facilities and the closure of certain international offices.</w:t>
            </w:r>
          </w:p>
        </w:tc>
      </w:tr>
      <w:tr>
        <w:trPr/>
        <w:tc>
          <w:tcPr>
            <w:tcW w:w="2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(7)</w:t>
            </w:r>
            <w:r>
              <w:rPr>
                <w:rFonts w:ascii="Times New Roman" w:hAnsi="Times New Roman"/>
                <w:color w:val="000000"/>
                <w:sz w:val="20"/>
              </w:rPr>
              <w:t> Net Income Margin Percent on Revenue was calculated by dividing net income by revenue.</w:t>
            </w:r>
          </w:p>
        </w:tc>
      </w:tr>
      <w:tr>
        <w:trPr/>
        <w:tc>
          <w:tcPr>
            <w:tcW w:w="2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 xml:space="preserve">(8) </w:t>
            </w:r>
            <w:r>
              <w:rPr>
                <w:rFonts w:ascii="Times New Roman" w:hAnsi="Times New Roman"/>
                <w:color w:val="000000"/>
                <w:sz w:val="20"/>
              </w:rPr>
              <w:t>EBITDA Margin Percent and Adjusted EBITDA Margin Percent on Revenue were calculated by dividing the Non-GAAP measure by the corresponding revenue.</w:t>
            </w:r>
          </w:p>
        </w:tc>
      </w:tr>
      <w:tr>
        <w:trPr/>
        <w:tc>
          <w:tcPr>
            <w:tcW w:w="2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(9)</w:t>
            </w:r>
            <w:r>
              <w:rPr>
                <w:rFonts w:ascii="Times New Roman" w:hAnsi="Times New Roman"/>
                <w:color w:val="000000"/>
                <w:sz w:val="20"/>
              </w:rPr>
              <w:t> The amortization of intangible assets acquired from business combinations totaled $7.6 million and $9.5 million for the three months ended March 31, 2026 and 2025, respectively.</w:t>
            </w:r>
          </w:p>
        </w:tc>
      </w:tr>
      <w:tr>
        <w:trPr/>
        <w:tc>
          <w:tcPr>
            <w:tcW w:w="2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(10)</w:t>
            </w:r>
            <w:r>
              <w:rPr>
                <w:rFonts w:ascii="Times New Roman" w:hAnsi="Times New Roman"/>
                <w:color w:val="000000"/>
                <w:sz w:val="20"/>
              </w:rPr>
              <w:t> Income tax effects were calculated using the effective tax rate, adjusted for certain discrete items, if any, of 25.1% and 10.5% for the three months ended March 31, 2026 and 2025, respectively.</w:t>
            </w:r>
          </w:p>
        </w:tc>
      </w:tr>
    </w:tbl>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4"/>
        </w:rPr>
      </w:pPr>
      <w:r>
        <w:rPr>
          <w:rFonts w:ascii="Times New Roman" w:hAnsi="Times New Roman"/>
          <w:b/>
          <w:color w:val="000000"/>
          <w:sz w:val="24"/>
        </w:rPr>
        <w:t>ICF International, Inc. and Subsidiaries</w:t>
      </w:r>
    </w:p>
    <w:p>
      <w:pPr>
        <w:pStyle w:val="TextBody"/>
        <w:bidi w:val="0"/>
        <w:jc w:val="center"/>
        <w:rPr>
          <w:rFonts w:ascii="Times New Roman" w:hAnsi="Times New Roman"/>
          <w:b/>
          <w:color w:val="000000"/>
          <w:sz w:val="24"/>
        </w:rPr>
      </w:pPr>
      <w:r>
        <w:rPr>
          <w:rFonts w:ascii="Times New Roman" w:hAnsi="Times New Roman"/>
          <w:b/>
          <w:color w:val="000000"/>
          <w:sz w:val="24"/>
        </w:rPr>
        <w:t>Consolidated Balance Sheets</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139"/>
        <w:gridCol w:w="146"/>
        <w:gridCol w:w="212"/>
        <w:gridCol w:w="895"/>
        <w:gridCol w:w="166"/>
        <w:gridCol w:w="146"/>
        <w:gridCol w:w="227"/>
        <w:gridCol w:w="961"/>
        <w:gridCol w:w="313"/>
      </w:tblGrid>
      <w:tr>
        <w:trPr/>
        <w:tc>
          <w:tcPr>
            <w:tcW w:w="71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71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(in thousands, except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3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5,297</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3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47,984</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3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239,999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237,996</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3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192,231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186,684</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3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18,390</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3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Income tax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18,087</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514,438</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3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55,393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58,357</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3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1,251,427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1,252,207</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3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73,644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81,555</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3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Operating lease -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102,844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106,274</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3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37,340</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2,052,976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2,050,171</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13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3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123,524</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3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43,444</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3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Lease liabilities -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21,491</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3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Accrued salaries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65,694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95,578</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3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Accrued subcontractors and other direct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48,900</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3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71,340</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404,277</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3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439,184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401,355</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3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Lease liabilities -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143,466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148,493</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3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6,837</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3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68,036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60,727</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1,021,067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1,021,689</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3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Preferred stock, par value $.001; 5,000,000 shares authorized; none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3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Common stock, par value $.001; 70,000,000 shares authorized; 24,513,156 and 24,378,749 shares issued at March 31, 2026 and December 31, 2025, respectively; 18,117,062 and 18,247,837 shares outstanding at March 31,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3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465,779</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3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974,042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956,077</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3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Treasury stock, 6,396,094 and 6,130,912 shares at March 31,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(379,970</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713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(13,428</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1,031,909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1,028,482</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2,052,976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2,050,171</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4"/>
        </w:rPr>
      </w:pPr>
      <w:r>
        <w:rPr>
          <w:rFonts w:ascii="Times New Roman" w:hAnsi="Times New Roman"/>
          <w:b/>
          <w:color w:val="000000"/>
          <w:sz w:val="24"/>
        </w:rPr>
        <w:t>ICF International, Inc. and Subsidiaries</w:t>
      </w:r>
    </w:p>
    <w:p>
      <w:pPr>
        <w:pStyle w:val="TextBody"/>
        <w:bidi w:val="0"/>
        <w:jc w:val="center"/>
        <w:rPr>
          <w:rFonts w:ascii="Times New Roman" w:hAnsi="Times New Roman"/>
          <w:b/>
          <w:color w:val="000000"/>
          <w:sz w:val="24"/>
        </w:rPr>
      </w:pPr>
      <w:r>
        <w:rPr>
          <w:rFonts w:ascii="Times New Roman" w:hAnsi="Times New Roman"/>
          <w:b/>
          <w:color w:val="000000"/>
          <w:sz w:val="24"/>
        </w:rPr>
        <w:t>Consolidated Statements of Cash Flows</w:t>
      </w:r>
    </w:p>
    <w:p>
      <w:pPr>
        <w:pStyle w:val="TextBody"/>
        <w:bidi w:val="0"/>
        <w:jc w:val="center"/>
        <w:rPr>
          <w:rFonts w:ascii="Times New Roman" w:hAnsi="Times New Roman"/>
          <w:b/>
          <w:color w:val="000000"/>
          <w:sz w:val="24"/>
        </w:rPr>
      </w:pPr>
      <w:r>
        <w:rPr>
          <w:rFonts w:ascii="Times New Roman" w:hAnsi="Times New Roman"/>
          <w:b/>
          <w:color w:val="000000"/>
          <w:sz w:val="24"/>
        </w:rPr>
        <w:t>(Unaudited)</w:t>
      </w:r>
    </w:p>
    <w:tbl>
      <w:tblPr>
        <w:tblW w:w="8924" w:type="dxa"/>
        <w:jc w:val="left"/>
        <w:tblInd w:w="0" w:type="dxa"/>
        <w:tblLayout w:type="fixed"/>
        <w:tblCellMar>
          <w:top w:w="28" w:type="dxa"/>
          <w:left w:w="28" w:type="dxa"/>
          <w:bottom w:w="28" w:type="dxa"/>
          <w:right w:w="28" w:type="dxa"/>
        </w:tblCellMar>
      </w:tblPr>
      <w:tblGrid>
        <w:gridCol w:w="6061"/>
        <w:gridCol w:w="146"/>
        <w:gridCol w:w="196"/>
        <w:gridCol w:w="751"/>
        <w:gridCol w:w="166"/>
        <w:gridCol w:w="146"/>
        <w:gridCol w:w="196"/>
        <w:gridCol w:w="751"/>
        <w:gridCol w:w="511"/>
      </w:tblGrid>
      <w:tr>
        <w:trPr/>
        <w:tc>
          <w:tcPr>
            <w:tcW w:w="6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26,851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Deferred income taxes and unrecognized income tax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(2,594</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Non-cash equity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4,186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14,795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operating adjustments,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1,435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Changes in operating assets and liabilities, net of the effects of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7"/>
              </w:rPr>
            </w:pPr>
            <w:r>
              <w:rPr>
                <w:rFonts w:ascii="Times New Roman" w:hAnsi="Times New Roman"/>
                <w:color w:val="000000"/>
                <w:sz w:val="17"/>
              </w:rPr>
              <w:t>Net contract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(34,610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7"/>
              </w:rPr>
            </w:pPr>
            <w:r>
              <w:rPr>
                <w:rFonts w:ascii="Times New Roman" w:hAnsi="Times New Roman"/>
                <w:color w:val="000000"/>
                <w:sz w:val="17"/>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7"/>
              </w:rPr>
            </w:pPr>
            <w:r>
              <w:rPr>
                <w:rFonts w:ascii="Times New Roman" w:hAnsi="Times New Roman"/>
                <w:color w:val="000000"/>
                <w:sz w:val="17"/>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21,340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7"/>
              </w:rPr>
            </w:pPr>
            <w:r>
              <w:rPr>
                <w:rFonts w:ascii="Times New Roman" w:hAnsi="Times New Roman"/>
                <w:color w:val="000000"/>
                <w:sz w:val="17"/>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(1,314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7"/>
              </w:rPr>
            </w:pPr>
            <w:r>
              <w:rPr>
                <w:rFonts w:ascii="Times New Roman" w:hAnsi="Times New Roman"/>
                <w:color w:val="000000"/>
                <w:sz w:val="17"/>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7"/>
              </w:rPr>
            </w:pPr>
            <w:r>
              <w:rPr>
                <w:rFonts w:ascii="Times New Roman" w:hAnsi="Times New Roman"/>
                <w:color w:val="000000"/>
                <w:sz w:val="17"/>
              </w:rPr>
              <w:t>Operating lease assets and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(1,862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7"/>
              </w:rPr>
            </w:pPr>
            <w:r>
              <w:rPr>
                <w:rFonts w:ascii="Times New Roman" w:hAnsi="Times New Roman"/>
                <w:color w:val="000000"/>
                <w:sz w:val="17"/>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7"/>
              </w:rPr>
            </w:pPr>
            <w:r>
              <w:rPr>
                <w:rFonts w:ascii="Times New Roman" w:hAnsi="Times New Roman"/>
                <w:color w:val="000000"/>
                <w:sz w:val="17"/>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(37,674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7"/>
              </w:rPr>
            </w:pPr>
            <w:r>
              <w:rPr>
                <w:rFonts w:ascii="Times New Roman" w:hAnsi="Times New Roman"/>
                <w:color w:val="000000"/>
                <w:sz w:val="17"/>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7"/>
              </w:rPr>
            </w:pPr>
            <w:r>
              <w:rPr>
                <w:rFonts w:ascii="Times New Roman" w:hAnsi="Times New Roman"/>
                <w:color w:val="000000"/>
                <w:sz w:val="17"/>
              </w:rPr>
              <w:t>Accrued salaries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(29,754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(30,465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7"/>
              </w:rPr>
            </w:pPr>
            <w:r>
              <w:rPr>
                <w:rFonts w:ascii="Times New Roman" w:hAnsi="Times New Roman"/>
                <w:color w:val="000000"/>
                <w:sz w:val="17"/>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7"/>
              </w:rPr>
            </w:pPr>
            <w:r>
              <w:rPr>
                <w:rFonts w:ascii="Times New Roman" w:hAnsi="Times New Roman"/>
                <w:color w:val="000000"/>
                <w:sz w:val="17"/>
              </w:rPr>
              <w:t>Accrued subcontractors and other direct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2,064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7"/>
              </w:rPr>
            </w:pPr>
            <w:r>
              <w:rPr>
                <w:rFonts w:ascii="Times New Roman" w:hAnsi="Times New Roman"/>
                <w:color w:val="000000"/>
                <w:sz w:val="17"/>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7"/>
              </w:rPr>
            </w:pPr>
            <w:r>
              <w:rPr>
                <w:rFonts w:ascii="Times New Roman" w:hAnsi="Times New Roman"/>
                <w:color w:val="000000"/>
                <w:sz w:val="17"/>
              </w:rPr>
              <w:t>Income tax receivable and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5,235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7"/>
              </w:rPr>
            </w:pPr>
            <w:r>
              <w:rPr>
                <w:rFonts w:ascii="Times New Roman" w:hAnsi="Times New Roman"/>
                <w:color w:val="000000"/>
                <w:sz w:val="17"/>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(409</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(33,034</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Payments for purchase of property and equipment and capitalized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(3,452</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(3,452</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Advances from working capital facilities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307,122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512,430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Payments on working capital 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(269,569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(422,406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Proceeds from other short-term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8,961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2,780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Repayments of other short-term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(9,172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Dividends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(2,620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Payments for share repurchases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(39,342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Other financing,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(646</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41,024</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Effect of Exchange Rate Changes on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737</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Change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8,933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5,275</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Cash Equivalents, and Restricted Cash,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56,324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18,817</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Cash Equivalents, and Restricted 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65,257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24,092</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Cash paid during the period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4,544</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Income taxes, net of refunds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1,095</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4"/>
        </w:rPr>
      </w:pPr>
      <w:r>
        <w:rPr>
          <w:rFonts w:ascii="Times New Roman" w:hAnsi="Times New Roman"/>
          <w:b/>
          <w:color w:val="000000"/>
          <w:sz w:val="24"/>
        </w:rPr>
        <w:t>ICF International, Inc. and Subsidiaries</w:t>
      </w:r>
    </w:p>
    <w:p>
      <w:pPr>
        <w:pStyle w:val="TextBody"/>
        <w:bidi w:val="0"/>
        <w:jc w:val="center"/>
        <w:rPr>
          <w:rFonts w:ascii="Times New Roman" w:hAnsi="Times New Roman"/>
          <w:sz w:val="20"/>
        </w:rPr>
      </w:pPr>
      <w:r>
        <w:rPr>
          <w:rFonts w:ascii="Times New Roman" w:hAnsi="Times New Roman"/>
          <w:b/>
          <w:color w:val="000000"/>
          <w:sz w:val="24"/>
        </w:rPr>
        <w:t xml:space="preserve">Supplemental Schedule </w:t>
      </w:r>
      <w:r>
        <w:rPr>
          <w:rFonts w:ascii="Times New Roman" w:hAnsi="Times New Roman"/>
          <w:b/>
          <w:color w:val="000000"/>
          <w:sz w:val="16"/>
        </w:rPr>
        <w:t>(11)</w:t>
      </w:r>
    </w:p>
    <w:p>
      <w:pPr>
        <w:pStyle w:val="TextBody"/>
        <w:bidi w:val="0"/>
        <w:jc w:val="left"/>
        <w:rPr/>
      </w:pPr>
      <w:r>
        <w:rPr/>
        <w:t> </w:t>
      </w:r>
    </w:p>
    <w:tbl>
      <w:tblPr>
        <w:tblW w:w="7536" w:type="dxa"/>
        <w:jc w:val="left"/>
        <w:tblInd w:w="0" w:type="dxa"/>
        <w:tblLayout w:type="fixed"/>
        <w:tblCellMar>
          <w:top w:w="28" w:type="dxa"/>
          <w:left w:w="28" w:type="dxa"/>
          <w:bottom w:w="28" w:type="dxa"/>
          <w:right w:w="28" w:type="dxa"/>
        </w:tblCellMar>
      </w:tblPr>
      <w:tblGrid>
        <w:gridCol w:w="4801"/>
        <w:gridCol w:w="346"/>
        <w:gridCol w:w="176"/>
        <w:gridCol w:w="509"/>
        <w:gridCol w:w="327"/>
        <w:gridCol w:w="176"/>
        <w:gridCol w:w="176"/>
        <w:gridCol w:w="509"/>
        <w:gridCol w:w="516"/>
      </w:tblGrid>
      <w:tr>
        <w:trPr/>
        <w:tc>
          <w:tcPr>
            <w:tcW w:w="48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 by client market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Energy, environment, infrastructure, and disaster recovery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Health and social programs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Security and other civilian &amp; commercial</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 by client type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federal government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state and local government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 government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Government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Commercial</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 by contract mix</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Time-and-materials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Fixed-price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Cost-based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3"/>
        </w:rPr>
      </w:pPr>
      <w:r>
        <w:rPr>
          <w:rFonts w:ascii="Times New Roman" w:hAnsi="Times New Roman"/>
          <w:color w:val="000000"/>
          <w:sz w:val="13"/>
        </w:rPr>
        <w:t>(11) As is shown in the supplemental schedule, we track revenue by key metrics that provide useful information about the nature of our operations. Client market provide insight into the breadth of our expertise. Client type is an indicator of the diversity of our client base. Revenue by contract mix provides insight in terms of the degree of performance risk that we have assumed.</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4464</Words>
  <Characters>24999</Characters>
  <CharactersWithSpaces>29805</CharactersWithSpaces>
  <Paragraphs>1756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