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cfi-20260331.htm"/>
      <w:bookmarkStart w:id="1" w:name="ksicfi20260331"/>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For the quarterly period ended March 31,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001-33045</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ICF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398" w:type="dxa"/>
        <w:jc w:val="left"/>
        <w:tblInd w:w="0" w:type="dxa"/>
        <w:tblLayout w:type="fixed"/>
        <w:tblCellMar>
          <w:top w:w="28" w:type="dxa"/>
          <w:left w:w="28" w:type="dxa"/>
          <w:bottom w:w="28" w:type="dxa"/>
          <w:right w:w="28" w:type="dxa"/>
        </w:tblCellMar>
      </w:tblPr>
      <w:tblGrid>
        <w:gridCol w:w="3526"/>
        <w:gridCol w:w="146"/>
        <w:gridCol w:w="172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22-3661438</w:t>
            </w:r>
            <w:r>
              <w:rPr>
                <w:rFonts w:ascii="Times New Roman" w:hAnsi="Times New Roman"/>
                <w:color w:val="000000"/>
                <w:sz w:val="20"/>
              </w:rPr>
              <w:t xml:space="preserve"> </w:t>
            </w:r>
          </w:p>
        </w:tc>
      </w:tr>
      <w:tr>
        <w:trPr/>
        <w:tc>
          <w:tcPr>
            <w:tcW w:w="35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sz w:val="20"/>
              </w:rPr>
            </w:pPr>
            <w:r>
              <w:rPr>
                <w:rFonts w:ascii="Times New Roman" w:hAnsi="Times New Roman"/>
                <w:b/>
                <w:color w:val="000000"/>
                <w:sz w:val="20"/>
              </w:rPr>
              <w:t>Incorporation or Organization)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sz w:val="20"/>
              </w:rPr>
            </w:pPr>
            <w:r>
              <w:rPr>
                <w:rFonts w:ascii="Times New Roman" w:hAnsi="Times New Roman"/>
                <w:b/>
                <w:color w:val="000000"/>
                <w:sz w:val="20"/>
              </w:rPr>
              <w:t>Identification No.)</w:t>
            </w:r>
            <w:r>
              <w:rPr>
                <w:rFonts w:ascii="Times New Roman" w:hAnsi="Times New Roman"/>
                <w:color w:val="000000"/>
                <w:sz w:val="20"/>
              </w:rPr>
              <w:t xml:space="preserve">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1902 Reston Metro Plaza, Reston, VA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20190</w:t>
            </w:r>
            <w:r>
              <w:rPr>
                <w:rFonts w:ascii="Times New Roman" w:hAnsi="Times New Roman"/>
                <w:color w:val="000000"/>
                <w:sz w:val="20"/>
              </w:rPr>
              <w:t xml:space="preserve">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(Address of Principal Executive Offices)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(Zip Code)</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(703) 934-3000</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(Former name, former address and former fiscal year,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218" w:type="dxa"/>
        <w:jc w:val="left"/>
        <w:tblInd w:w="0" w:type="dxa"/>
        <w:tblLayout w:type="fixed"/>
        <w:tblCellMar>
          <w:top w:w="28" w:type="dxa"/>
          <w:left w:w="28" w:type="dxa"/>
          <w:bottom w:w="28" w:type="dxa"/>
          <w:right w:w="28" w:type="dxa"/>
        </w:tblCellMar>
      </w:tblPr>
      <w:tblGrid>
        <w:gridCol w:w="1621"/>
        <w:gridCol w:w="1771"/>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ICFI</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As of May 1, 2026, there were 18,104,180 shares outstanding of the registrant’s common stock.</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QUARTERLY REPORT ON FORM 10-Q FOR THE</w:t>
      </w:r>
    </w:p>
    <w:p>
      <w:pPr>
        <w:pStyle w:val="TextBody"/>
        <w:bidi w:val="0"/>
        <w:jc w:val="center"/>
        <w:rPr>
          <w:rFonts w:ascii="Times New Roman" w:hAnsi="Times New Roman"/>
          <w:b/>
          <w:color w:val="000000"/>
          <w:sz w:val="20"/>
        </w:rPr>
      </w:pPr>
      <w:r>
        <w:rPr>
          <w:rFonts w:ascii="Times New Roman" w:hAnsi="Times New Roman"/>
          <w:b/>
          <w:color w:val="000000"/>
          <w:sz w:val="20"/>
        </w:rPr>
        <w:t>PERIOD ENDED MARCH 31,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02"/>
        <w:gridCol w:w="8747"/>
        <w:gridCol w:w="456"/>
      </w:tblGrid>
      <w:tr>
        <w:trPr/>
        <w:tc>
          <w:tcPr>
            <w:tcW w:w="1002" w:type="dxa"/>
            <w:tcBorders/>
            <w:vAlign w:val="center"/>
          </w:tcPr>
          <w:p>
            <w:pPr>
              <w:pStyle w:val="TableContents"/>
              <w:bidi w:val="0"/>
              <w:spacing w:before="0" w:after="283"/>
              <w:jc w:val="left"/>
              <w:rPr>
                <w:sz w:val="4"/>
                <w:szCs w:val="4"/>
              </w:rPr>
            </w:pPr>
            <w:r>
              <w:rPr>
                <w:sz w:val="4"/>
                <w:szCs w:val="4"/>
              </w:rPr>
            </w:r>
          </w:p>
        </w:tc>
        <w:tc>
          <w:tcPr>
            <w:tcW w:w="87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64"/>
              <w:jc w:val="left"/>
              <w:rPr>
                <w:sz w:val="4"/>
                <w:szCs w:val="4"/>
              </w:rPr>
            </w:pPr>
            <w:r>
              <w:rPr>
                <w:sz w:val="4"/>
                <w:szCs w:val="4"/>
              </w:rPr>
            </w:r>
          </w:p>
        </w:tc>
      </w:tr>
      <w:tr>
        <w:trPr/>
        <w:tc>
          <w:tcPr>
            <w:tcW w:w="9749" w:type="dxa"/>
            <w:gridSpan w:val="2"/>
            <w:tcBorders/>
            <w:tcMar>
              <w:top w:w="0" w:type="dxa"/>
              <w:left w:w="0" w:type="dxa"/>
              <w:bottom w:w="0" w:type="dxa"/>
              <w:right w:w="0" w:type="dxa"/>
            </w:tcMar>
            <w:vAlign w:val="center"/>
          </w:tcPr>
          <w:p>
            <w:pPr>
              <w:pStyle w:val="TableContents"/>
              <w:bidi w:val="0"/>
              <w:spacing w:before="0" w:after="283"/>
              <w:ind w:left="0" w:right="0" w:firstLine="264"/>
              <w:jc w:val="left"/>
              <w:rPr/>
            </w:pPr>
            <w:hyperlink w:anchor="part_i_financial_information">
              <w:r>
                <w:rPr>
                  <w:rStyle w:val="InternetLink"/>
                  <w:rFonts w:ascii="Times New Roman" w:hAnsi="Times New Roman"/>
                  <w:color w:val="0000FF"/>
                  <w:sz w:val="20"/>
                </w:rPr>
                <w:t>PART I. FINANCIAL INFORMATION</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1.</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1___financial_statements_">
              <w:r>
                <w:rPr>
                  <w:rStyle w:val="InternetLink"/>
                  <w:rFonts w:ascii="Times New Roman" w:hAnsi="Times New Roman"/>
                  <w:color w:val="0000FF"/>
                  <w:sz w:val="20"/>
                </w:rPr>
                <w:t>Financial Statements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balance_sheets">
              <w:r>
                <w:rPr>
                  <w:rStyle w:val="InternetLink"/>
                  <w:rFonts w:ascii="Times New Roman" w:hAnsi="Times New Roman"/>
                  <w:color w:val="0000FF"/>
                  <w:sz w:val="20"/>
                </w:rPr>
                <w:t>Consolidated Balance Sheets at March 31, 2026 (Unaudited) and December 31,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statements_comprehensive_in">
              <w:r>
                <w:rPr>
                  <w:rStyle w:val="InternetLink"/>
                  <w:rFonts w:ascii="Times New Roman" w:hAnsi="Times New Roman"/>
                  <w:color w:val="0000FF"/>
                  <w:sz w:val="20"/>
                </w:rPr>
                <w:t>Consolidated Statements of Comprehensive Income (Unaudited) for the Three Months Ended March 31, 2026 and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8747" w:type="dxa"/>
            <w:tcBorders/>
            <w:tcMar>
              <w:top w:w="0" w:type="dxa"/>
              <w:left w:w="0" w:type="dxa"/>
              <w:bottom w:w="0" w:type="dxa"/>
              <w:right w:w="0" w:type="dxa"/>
            </w:tcMar>
            <w:vAlign w:val="center"/>
          </w:tcPr>
          <w:p>
            <w:pPr>
              <w:pStyle w:val="TableContents"/>
              <w:bidi w:val="0"/>
              <w:spacing w:before="0" w:after="283"/>
              <w:ind w:left="0" w:right="0" w:firstLine="504"/>
              <w:jc w:val="left"/>
              <w:rPr/>
            </w:pPr>
            <w:hyperlink w:anchor="consolidated_stockholders_equity">
              <w:r>
                <w:rPr>
                  <w:rStyle w:val="InternetLink"/>
                  <w:rFonts w:ascii="Times New Roman" w:hAnsi="Times New Roman"/>
                  <w:color w:val="0000FF"/>
                  <w:sz w:val="20"/>
                </w:rPr>
                <w:t>Consolidated Statements of Stockholders’ Equity (Unaudited) including the Three Months Ended March 31, 2026 and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74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s_cash_flows_unaud">
              <w:r>
                <w:rPr>
                  <w:rStyle w:val="InternetLink"/>
                  <w:rFonts w:ascii="Times New Roman" w:hAnsi="Times New Roman"/>
                  <w:color w:val="0000FF"/>
                  <w:sz w:val="20"/>
                </w:rPr>
                <w:t>Consolidated Statements of Cash Flows (Unaudited) for the Three Months Ended March 31, 2026 and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504"/>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ind w:left="0" w:right="0" w:firstLine="504"/>
              <w:jc w:val="left"/>
              <w:rPr/>
            </w:pPr>
            <w:hyperlink w:anchor="notes_to_consolidated_financial_statemen">
              <w:r>
                <w:rPr>
                  <w:rStyle w:val="InternetLink"/>
                  <w:rFonts w:ascii="Times New Roman" w:hAnsi="Times New Roman"/>
                  <w:color w:val="0000FF"/>
                  <w:sz w:val="20"/>
                </w:rPr>
                <w:t>Notes to Consolidated Financial Statements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02" w:type="dxa"/>
            <w:tcBorders/>
            <w:tcMar>
              <w:top w:w="0" w:type="dxa"/>
              <w:left w:w="0" w:type="dxa"/>
              <w:bottom w:w="0" w:type="dxa"/>
              <w:right w:w="0" w:type="dxa"/>
            </w:tcMar>
            <w:vAlign w:val="center"/>
          </w:tcPr>
          <w:p>
            <w:pPr>
              <w:pStyle w:val="TableContents"/>
              <w:bidi w:val="0"/>
              <w:spacing w:before="0" w:after="283"/>
              <w:jc w:val="left"/>
              <w:rPr/>
            </w:pPr>
            <w:r>
              <w:rPr/>
              <w:t> </w:t>
            </w:r>
          </w:p>
        </w:tc>
        <w:tc>
          <w:tcPr>
            <w:tcW w:w="8747"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2.</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2___managements_discussion_analysis">
              <w:r>
                <w:rPr>
                  <w:rStyle w:val="InternetLink"/>
                  <w:rFonts w:ascii="Times New Roman" w:hAnsi="Times New Roman"/>
                  <w:color w:val="0000FF"/>
                  <w:sz w:val="20"/>
                </w:rPr>
                <w:t>Management’s Discussion and Analysis of Financial Condition and Results of Operations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3.</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3___quantitative_qualitative_disclo">
              <w:r>
                <w:rPr>
                  <w:rStyle w:val="InternetLink"/>
                  <w:rFonts w:ascii="Times New Roman" w:hAnsi="Times New Roman"/>
                  <w:color w:val="0000FF"/>
                  <w:sz w:val="20"/>
                </w:rPr>
                <w:t>Quantitative and Qualitative Disclosures About Market Risk</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4.</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4___controls_procedures">
              <w:r>
                <w:rPr>
                  <w:rStyle w:val="InternetLink"/>
                  <w:rFonts w:ascii="Times New Roman" w:hAnsi="Times New Roman"/>
                  <w:color w:val="0000FF"/>
                  <w:sz w:val="20"/>
                </w:rPr>
                <w:t>Controls and Procedures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74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49" w:type="dxa"/>
            <w:gridSpan w:val="2"/>
            <w:tcBorders/>
            <w:tcMar>
              <w:top w:w="0" w:type="dxa"/>
              <w:left w:w="0" w:type="dxa"/>
              <w:bottom w:w="0" w:type="dxa"/>
              <w:right w:w="0" w:type="dxa"/>
            </w:tcMar>
            <w:vAlign w:val="center"/>
          </w:tcPr>
          <w:p>
            <w:pPr>
              <w:pStyle w:val="TableContents"/>
              <w:bidi w:val="0"/>
              <w:spacing w:before="0" w:after="283"/>
              <w:ind w:left="0" w:right="0" w:firstLine="264"/>
              <w:jc w:val="left"/>
              <w:rPr/>
            </w:pPr>
            <w:hyperlink w:anchor="part_ii_or_information">
              <w:r>
                <w:rPr>
                  <w:rStyle w:val="InternetLink"/>
                  <w:rFonts w:ascii="Times New Roman" w:hAnsi="Times New Roman"/>
                  <w:color w:val="0000FF"/>
                  <w:sz w:val="20"/>
                </w:rPr>
                <w:t>PART II. OTHER INFORMATION</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1.</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1___legal_proceedings_">
              <w:r>
                <w:rPr>
                  <w:rStyle w:val="InternetLink"/>
                  <w:rFonts w:ascii="Times New Roman" w:hAnsi="Times New Roman"/>
                  <w:color w:val="0000FF"/>
                  <w:sz w:val="20"/>
                </w:rPr>
                <w:t>Legal Proceedings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1A.</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1a_risk_factors_">
              <w:r>
                <w:rPr>
                  <w:rStyle w:val="InternetLink"/>
                  <w:rFonts w:ascii="Times New Roman" w:hAnsi="Times New Roman"/>
                  <w:color w:val="0000FF"/>
                  <w:sz w:val="20"/>
                </w:rPr>
                <w:t>Risk Factors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2.</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2___unregistered_sales_equity_secur">
              <w:r>
                <w:rPr>
                  <w:rStyle w:val="InternetLink"/>
                  <w:rFonts w:ascii="Times New Roman" w:hAnsi="Times New Roman"/>
                  <w:color w:val="0000FF"/>
                  <w:sz w:val="20"/>
                </w:rPr>
                <w:t>Unregistered Sales of Equity Securities, Use of Proceeds, and Issuer Purchases of Equity Securities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3.</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3___defaults_upon_senior_securities">
              <w:r>
                <w:rPr>
                  <w:rStyle w:val="InternetLink"/>
                  <w:rFonts w:ascii="Times New Roman" w:hAnsi="Times New Roman"/>
                  <w:color w:val="0000FF"/>
                  <w:sz w:val="20"/>
                </w:rPr>
                <w:t>Defaults Upon Senior Securities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4.</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4___mine_safety_disclosures_">
              <w:r>
                <w:rPr>
                  <w:rStyle w:val="InternetLink"/>
                  <w:rFonts w:ascii="Times New Roman" w:hAnsi="Times New Roman"/>
                  <w:color w:val="0000FF"/>
                  <w:sz w:val="20"/>
                </w:rPr>
                <w:t>Mine Safety Disclosures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5.</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5___or_information_">
              <w:r>
                <w:rPr>
                  <w:rStyle w:val="InternetLink"/>
                  <w:rFonts w:ascii="Times New Roman" w:hAnsi="Times New Roman"/>
                  <w:color w:val="0000FF"/>
                  <w:sz w:val="20"/>
                </w:rPr>
                <w:t>Other Information</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1002"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6.</w:t>
            </w:r>
          </w:p>
        </w:tc>
        <w:tc>
          <w:tcPr>
            <w:tcW w:w="8747"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6_exhibits_">
              <w:r>
                <w:rPr>
                  <w:rStyle w:val="InternetLink"/>
                  <w:rFonts w:ascii="Times New Roman" w:hAnsi="Times New Roman"/>
                  <w:color w:val="0000FF"/>
                  <w:sz w:val="20"/>
                </w:rPr>
                <w:t>Exhibits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i/>
          <w:color w:val="000000"/>
          <w:sz w:val="20"/>
        </w:rPr>
      </w:pPr>
      <w:bookmarkStart w:id="3" w:name="item_1___financial_statements_"/>
      <w:bookmarkEnd w:id="3"/>
      <w:r>
        <w:rPr>
          <w:rFonts w:ascii="Times New Roman" w:hAnsi="Times New Roman"/>
          <w:b/>
          <w:i/>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7159"/>
        <w:gridCol w:w="146"/>
        <w:gridCol w:w="210"/>
        <w:gridCol w:w="888"/>
        <w:gridCol w:w="166"/>
        <w:gridCol w:w="146"/>
        <w:gridCol w:w="225"/>
        <w:gridCol w:w="951"/>
        <w:gridCol w:w="314"/>
      </w:tblGrid>
      <w:tr>
        <w:trPr/>
        <w:tc>
          <w:tcPr>
            <w:tcW w:w="7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March 31,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7"/>
              </w:rPr>
            </w:pPr>
            <w:r>
              <w:rPr>
                <w:rFonts w:ascii="Times New Roman" w:hAnsi="Times New Roman"/>
                <w:b/>
                <w:i/>
                <w:color w:val="000000"/>
                <w:sz w:val="17"/>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47,984</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237,996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Contract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192,231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186,684</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18,390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Income tax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19,055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18,087</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514,438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58,357</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1,252,207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intangible assets,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73,644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81,555</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 -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106,274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45,223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37,340</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2,052,976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2,050,171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7"/>
              </w:rPr>
            </w:pPr>
            <w:r>
              <w:rPr>
                <w:rFonts w:ascii="Times New Roman" w:hAnsi="Times New Roman"/>
                <w:b/>
                <w:i/>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93,252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123,524</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43,444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Lease liabilities - current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21,491</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95,578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subcontractors and other direct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48,900</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71,340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355,006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404,277</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401,355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Lease liabilities - non-current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143,466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148,493</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68,036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60,727</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1,021,689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Preferred stock, par value $.001; 5,000,000</w:t>
            </w:r>
            <w:r>
              <w:rPr>
                <w:rFonts w:ascii="Times New Roman" w:hAnsi="Times New Roman"/>
                <w:color w:val="000000"/>
                <w:sz w:val="20"/>
              </w:rPr>
              <w:t> </w:t>
            </w:r>
            <w:r>
              <w:rPr>
                <w:rFonts w:ascii="Times New Roman" w:hAnsi="Times New Roman"/>
                <w:color w:val="000000"/>
                <w:sz w:val="17"/>
              </w:rPr>
              <w:t>shares authorized; none</w:t>
            </w:r>
            <w:r>
              <w:rPr>
                <w:rFonts w:ascii="Times New Roman" w:hAnsi="Times New Roman"/>
                <w:color w:val="000000"/>
                <w:sz w:val="20"/>
              </w:rPr>
              <w:t> </w:t>
            </w:r>
            <w:r>
              <w:rPr>
                <w:rFonts w:ascii="Times New Roman" w:hAnsi="Times New Roman"/>
                <w:color w:val="000000"/>
                <w:sz w:val="17"/>
              </w:rPr>
              <w:t>issued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Common stock, par value $.001; 70,000,000</w:t>
            </w:r>
            <w:r>
              <w:rPr>
                <w:rFonts w:ascii="Times New Roman" w:hAnsi="Times New Roman"/>
                <w:color w:val="000000"/>
                <w:sz w:val="20"/>
              </w:rPr>
              <w:t> </w:t>
            </w:r>
            <w:r>
              <w:rPr>
                <w:rFonts w:ascii="Times New Roman" w:hAnsi="Times New Roman"/>
                <w:color w:val="000000"/>
                <w:sz w:val="17"/>
              </w:rPr>
              <w:t>shares authorized; 24,513,156</w:t>
            </w:r>
            <w:r>
              <w:rPr>
                <w:rFonts w:ascii="Times New Roman" w:hAnsi="Times New Roman"/>
                <w:color w:val="000000"/>
                <w:sz w:val="20"/>
              </w:rPr>
              <w:t> </w:t>
            </w:r>
            <w:r>
              <w:rPr>
                <w:rFonts w:ascii="Times New Roman" w:hAnsi="Times New Roman"/>
                <w:color w:val="000000"/>
                <w:sz w:val="17"/>
              </w:rPr>
              <w:t>and 24,378,749</w:t>
            </w:r>
            <w:r>
              <w:rPr>
                <w:rFonts w:ascii="Times New Roman" w:hAnsi="Times New Roman"/>
                <w:color w:val="000000"/>
                <w:sz w:val="20"/>
              </w:rPr>
              <w:t> </w:t>
            </w:r>
            <w:r>
              <w:rPr>
                <w:rFonts w:ascii="Times New Roman" w:hAnsi="Times New Roman"/>
                <w:color w:val="000000"/>
                <w:sz w:val="17"/>
              </w:rPr>
              <w:t>shares issued at March 31, 2026 and December 31, 2025, respectively; 18,117,062</w:t>
            </w:r>
            <w:r>
              <w:rPr>
                <w:rFonts w:ascii="Times New Roman" w:hAnsi="Times New Roman"/>
                <w:color w:val="000000"/>
                <w:sz w:val="20"/>
              </w:rPr>
              <w:t> </w:t>
            </w:r>
            <w:r>
              <w:rPr>
                <w:rFonts w:ascii="Times New Roman" w:hAnsi="Times New Roman"/>
                <w:color w:val="000000"/>
                <w:sz w:val="17"/>
              </w:rPr>
              <w:t>and 18,247,837</w:t>
            </w:r>
            <w:r>
              <w:rPr>
                <w:rFonts w:ascii="Times New Roman" w:hAnsi="Times New Roman"/>
                <w:color w:val="000000"/>
                <w:sz w:val="20"/>
              </w:rPr>
              <w:t> </w:t>
            </w:r>
            <w:r>
              <w:rPr>
                <w:rFonts w:ascii="Times New Roman" w:hAnsi="Times New Roman"/>
                <w:color w:val="000000"/>
                <w:sz w:val="17"/>
              </w:rPr>
              <w:t>shares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470,476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465,779</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956,077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Treasury stock, 6,396,094</w:t>
            </w:r>
            <w:r>
              <w:rPr>
                <w:rFonts w:ascii="Times New Roman" w:hAnsi="Times New Roman"/>
                <w:color w:val="000000"/>
                <w:sz w:val="20"/>
              </w:rPr>
              <w:t> </w:t>
            </w:r>
            <w:r>
              <w:rPr>
                <w:rFonts w:ascii="Times New Roman" w:hAnsi="Times New Roman"/>
                <w:color w:val="000000"/>
                <w:sz w:val="17"/>
              </w:rPr>
              <w:t>and 6,130,912</w:t>
            </w:r>
            <w:r>
              <w:rPr>
                <w:rFonts w:ascii="Times New Roman" w:hAnsi="Times New Roman"/>
                <w:color w:val="000000"/>
                <w:sz w:val="20"/>
              </w:rPr>
              <w:t> </w:t>
            </w:r>
            <w:r>
              <w:rPr>
                <w:rFonts w:ascii="Times New Roman" w:hAnsi="Times New Roman"/>
                <w:color w:val="000000"/>
                <w:sz w:val="17"/>
              </w:rPr>
              <w:t>shares at March 31, 2026 and December 31, 2025, respectively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(398,536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(379,970</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(13,428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5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1,031,909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1,028,482</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2,052,976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2,050,171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b/>
          <w:color w:val="000000"/>
          <w:sz w:val="20"/>
        </w:rPr>
      </w:pPr>
      <w:bookmarkStart w:id="5" w:name="consolidated_statements_comprehensive_in"/>
      <w:bookmarkEnd w:id="5"/>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6219" w:type="dxa"/>
        <w:jc w:val="left"/>
        <w:tblInd w:w="0" w:type="dxa"/>
        <w:tblLayout w:type="fixed"/>
        <w:tblCellMar>
          <w:top w:w="28" w:type="dxa"/>
          <w:left w:w="28" w:type="dxa"/>
          <w:bottom w:w="28" w:type="dxa"/>
          <w:right w:w="28" w:type="dxa"/>
        </w:tblCellMar>
      </w:tblPr>
      <w:tblGrid>
        <w:gridCol w:w="3396"/>
        <w:gridCol w:w="146"/>
        <w:gridCol w:w="196"/>
        <w:gridCol w:w="691"/>
        <w:gridCol w:w="166"/>
        <w:gridCol w:w="146"/>
        <w:gridCol w:w="196"/>
        <w:gridCol w:w="691"/>
        <w:gridCol w:w="59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487,618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302,542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Indirect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sz w:val="20"/>
        </w:rPr>
      </w:pPr>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stockholders_equity"/>
      <w:bookmarkEnd w:id="6"/>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10706" w:type="dxa"/>
        <w:jc w:val="left"/>
        <w:tblInd w:w="0" w:type="dxa"/>
        <w:tblLayout w:type="fixed"/>
        <w:tblCellMar>
          <w:top w:w="28" w:type="dxa"/>
          <w:left w:w="28" w:type="dxa"/>
          <w:bottom w:w="28" w:type="dxa"/>
          <w:right w:w="28" w:type="dxa"/>
        </w:tblCellMar>
      </w:tblPr>
      <w:tblGrid>
        <w:gridCol w:w="1171"/>
        <w:gridCol w:w="146"/>
        <w:gridCol w:w="146"/>
        <w:gridCol w:w="601"/>
        <w:gridCol w:w="166"/>
        <w:gridCol w:w="146"/>
        <w:gridCol w:w="249"/>
        <w:gridCol w:w="442"/>
        <w:gridCol w:w="146"/>
        <w:gridCol w:w="146"/>
        <w:gridCol w:w="196"/>
        <w:gridCol w:w="691"/>
        <w:gridCol w:w="146"/>
        <w:gridCol w:w="146"/>
        <w:gridCol w:w="196"/>
        <w:gridCol w:w="691"/>
        <w:gridCol w:w="166"/>
        <w:gridCol w:w="146"/>
        <w:gridCol w:w="146"/>
        <w:gridCol w:w="511"/>
        <w:gridCol w:w="146"/>
        <w:gridCol w:w="146"/>
        <w:gridCol w:w="196"/>
        <w:gridCol w:w="751"/>
        <w:gridCol w:w="166"/>
        <w:gridCol w:w="146"/>
        <w:gridCol w:w="278"/>
        <w:gridCol w:w="938"/>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956,077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1,028,482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Issuance of shares pursuant to vesting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Payments for 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571" w:type="dxa"/>
        <w:jc w:val="left"/>
        <w:tblInd w:w="0" w:type="dxa"/>
        <w:tblLayout w:type="fixed"/>
        <w:tblCellMar>
          <w:top w:w="28" w:type="dxa"/>
          <w:left w:w="28" w:type="dxa"/>
          <w:bottom w:w="28" w:type="dxa"/>
          <w:right w:w="28" w:type="dxa"/>
        </w:tblCellMar>
      </w:tblPr>
      <w:tblGrid>
        <w:gridCol w:w="1171"/>
        <w:gridCol w:w="146"/>
        <w:gridCol w:w="146"/>
        <w:gridCol w:w="601"/>
        <w:gridCol w:w="166"/>
        <w:gridCol w:w="146"/>
        <w:gridCol w:w="249"/>
        <w:gridCol w:w="442"/>
        <w:gridCol w:w="146"/>
        <w:gridCol w:w="146"/>
        <w:gridCol w:w="196"/>
        <w:gridCol w:w="691"/>
        <w:gridCol w:w="146"/>
        <w:gridCol w:w="146"/>
        <w:gridCol w:w="196"/>
        <w:gridCol w:w="691"/>
        <w:gridCol w:w="166"/>
        <w:gridCol w:w="146"/>
        <w:gridCol w:w="146"/>
        <w:gridCol w:w="511"/>
        <w:gridCol w:w="146"/>
        <w:gridCol w:w="146"/>
        <w:gridCol w:w="196"/>
        <w:gridCol w:w="751"/>
        <w:gridCol w:w="166"/>
        <w:gridCol w:w="146"/>
        <w:gridCol w:w="278"/>
        <w:gridCol w:w="938"/>
        <w:gridCol w:w="166"/>
        <w:gridCol w:w="146"/>
        <w:gridCol w:w="196"/>
        <w:gridCol w:w="69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874,772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982,459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xml:space="preserve">Issuance of shares pursuant to vesting of </w:t>
              <w:br/>
              <w:t>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Payments for 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968,868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sz w:val="20"/>
        </w:rPr>
      </w:pPr>
      <w:bookmarkStart w:id="7" w:name="consolidated_statements_cash_flows_unaud"/>
      <w:bookmarkEnd w:id="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9224" w:type="dxa"/>
        <w:jc w:val="left"/>
        <w:tblInd w:w="0" w:type="dxa"/>
        <w:tblLayout w:type="fixed"/>
        <w:tblCellMar>
          <w:top w:w="28" w:type="dxa"/>
          <w:left w:w="28" w:type="dxa"/>
          <w:bottom w:w="28" w:type="dxa"/>
          <w:right w:w="28" w:type="dxa"/>
        </w:tblCellMar>
      </w:tblPr>
      <w:tblGrid>
        <w:gridCol w:w="6061"/>
        <w:gridCol w:w="146"/>
        <w:gridCol w:w="196"/>
        <w:gridCol w:w="751"/>
        <w:gridCol w:w="166"/>
        <w:gridCol w:w="146"/>
        <w:gridCol w:w="196"/>
        <w:gridCol w:w="751"/>
        <w:gridCol w:w="8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 and unrecognized income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Non-cash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operating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 net of the effects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contract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subcontractors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Income tax receivable and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(33,034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purchase of property and equipment and 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Advances from working capital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512,430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working capital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(422,406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other 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of other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financing,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41,024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(dollar amounts in tables in thousands, except share and per share data)</w:t>
      </w:r>
    </w:p>
    <w:p>
      <w:pPr>
        <w:pStyle w:val="TextBody"/>
        <w:bidi w:val="0"/>
        <w:spacing w:before="240" w:after="283"/>
        <w:jc w:val="left"/>
        <w:rPr>
          <w:rFonts w:ascii="Times New Roman" w:hAnsi="Times New Roman"/>
          <w:b/>
          <w:color w:val="000000"/>
          <w:sz w:val="20"/>
        </w:rPr>
      </w:pPr>
      <w:bookmarkStart w:id="9" w:name="note_1_nature_operations_basis_presentat"/>
      <w:bookmarkEnd w:id="9"/>
      <w:r>
        <w:rPr>
          <w:rFonts w:ascii="Times New Roman" w:hAnsi="Times New Roman"/>
          <w:b/>
          <w:color w:val="000000"/>
          <w:sz w:val="20"/>
        </w:rPr>
        <w:t>NOTE 1 –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of ICF International, Inc. (“ICFI”) and its wholly-owned principal subsidiary, ICF Consulting Group, Inc. (“Consulting,” and together with ICFI, the “Company”), and have been prepared in accordance with United States (“U.S.”) generally accepted accounting principles (“U.S. GAAP”). ICFI is a holding company with no operations or assets other than its investment in the common stock of Consulting. All other subsidiaries of the Company are wholly owned by Consulting. Intercompany transactions and balances have been eliminated.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the reported amounts of revenue and expenses. Management evaluates these estimates on an ongoing basis including those that relate to revenue recognition (including estimates of variable considerations and remaining costs to complete fixed-price contracts), expected credit losses, valuation and lives of tangible and intangible assets acquired from business combinations, and reserves for tax benefits and valuation allowances on deferred tax assets. Actual results experienced by the Company may differ from management’s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and 2025, the Company recognized net income of $0.4 million and $5.9 million, respectively, as a result of net changes in estimates related to fixed-price contracts accounted for under the percentage-of-completion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Interim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consolidated financial statements included in this Quarterly Report on Form 10-Q have been prepared pursuant to the rules and regulations of the Securities and Exchange Commission (the “SEC”). These rules and regulations permit some of the information and footnote disclosures normally included in annual financial statements, prepared in accordance with U.S. GAAP, to be condensed or omitted. In management’s opinion, the unaudited consolidated financial statements contain all adjustments that are of a normal recurring nature, necessary for a fair presentation of the results of operations and financial position of the Company for the interim periods presented. The Company reports operating results and financial data in as a single operating segment and reporting unit. Operating results for the three-month periods ended March 31, 2026 and 2025 are not necessarily indicative of the results that may be expected for the full year. These unaudited consolidated financial statements should be read in conjunction with the audited consolidated financial statements for the fiscal year ended December 31, 2025 and the notes thereto included in the Company’s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Statement—Reporting Comprehensive Income—Expense Disaggregation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(“ASU 2024-03”), which requires additional disaggregation of certain costs and expenses. ASU 2024-03 specifically requires all public entities to disclose within a tabular format the amounts of (a) purchases of inventory, (b) employee compensation, (c) depreciation, (d) intangible asset amortization, and (e) depreciation, depletion, and amortization recognized as part of oil- and gas-producing activities in each relevant expense caption as well as certain amounts that are already required to be disclosed under current U.S. GAAP. ASU 2024-03 also requires public entities to disclose a qualitative description of the composition of any amounts in relevant expense captions that are not separately disaggregated and the amount and definition of the entity’s selling expenses. ASU 2024-03 will be effective for the Company for the annual reporting periods beginning after December 15, 2026, and interim periods beginning after December 15, 2027, with early adoption permitted. The amendments may be adopted on a prospective or retrospective basis. The Company is currently evaluating the impact of the adoption of ASU 2024-03.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Intangibles—Goodwill and Other—Internal-Use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Targeted Improvements to the Accounting for Internal-Use Software (“ASU 2025-06”), which modernizes the accounting for internal-use software costs by removing all references to software development project stages so that the guidance is neutral to different software development methods. ASU 2025-06 will be effective for the Company for annual reporting periods beginning after December 15, 2027, and interim reporting periods within those annual reporting periods, with early adoption permitted. The amendments may be adopted on a prospective, retrospective, or modified basis. The Company is currently evaluating the impact of the adoption of ASU 2025-06.</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0" w:name="note_2_restricted_cash"/>
      <w:bookmarkEnd w:id="10"/>
      <w:r>
        <w:rPr>
          <w:rFonts w:ascii="Times New Roman" w:hAnsi="Times New Roman"/>
          <w:b/>
          <w:color w:val="000000"/>
          <w:sz w:val="20"/>
        </w:rPr>
        <w:t>NOTE 2 – RESTRICTED CASH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as of March 31, 2026 and 2025 to cash, cash equivalents, and restricted cash shown in the consolidated statements of cash flows for the three months ended March 31, 2026 and 2025: </w:t>
      </w:r>
    </w:p>
    <w:tbl>
      <w:tblPr>
        <w:tblW w:w="10205" w:type="dxa"/>
        <w:jc w:val="left"/>
        <w:tblInd w:w="0" w:type="dxa"/>
        <w:tblLayout w:type="fixed"/>
        <w:tblCellMar>
          <w:top w:w="28" w:type="dxa"/>
          <w:left w:w="28" w:type="dxa"/>
          <w:bottom w:w="28" w:type="dxa"/>
          <w:right w:w="28" w:type="dxa"/>
        </w:tblCellMar>
      </w:tblPr>
      <w:tblGrid>
        <w:gridCol w:w="6845"/>
        <w:gridCol w:w="146"/>
        <w:gridCol w:w="312"/>
        <w:gridCol w:w="1002"/>
        <w:gridCol w:w="146"/>
        <w:gridCol w:w="146"/>
        <w:gridCol w:w="312"/>
        <w:gridCol w:w="1002"/>
        <w:gridCol w:w="294"/>
      </w:tblGrid>
      <w:tr>
        <w:trPr/>
        <w:tc>
          <w:tcPr>
            <w:tcW w:w="6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Restricted cash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4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of cash, cash equivalents, and restricted cash shown in the consolidated statements of cash flows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24,092</w:t>
            </w:r>
          </w:p>
        </w:tc>
        <w:tc>
          <w:tcPr>
            <w:tcW w:w="2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The balance as of March 31, 2026, includes $12.0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of long-term restricted cash included within "Other assets" on the Company's consolidated balance sheets. There was no</w:t>
      </w:r>
      <w:r>
        <w:rPr>
          <w:rFonts w:ascii="Times New Roman" w:hAnsi="Times New Roman"/>
          <w:color w:val="000000"/>
          <w:sz w:val="20"/>
        </w:rPr>
        <w:t xml:space="preserve"> </w:t>
      </w:r>
      <w:r>
        <w:rPr>
          <w:rFonts w:ascii="Times New Roman" w:hAnsi="Times New Roman"/>
          <w:color w:val="000000"/>
          <w:sz w:val="16"/>
        </w:rPr>
        <w:t>long-term restricted cash balance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is primarily related to the Company’s energy incentive management business for its public utility clients and restricted cash advances on certain programs.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1" w:name="note_3_contract_receivables_net"/>
      <w:bookmarkEnd w:id="11"/>
      <w:r>
        <w:rPr>
          <w:rFonts w:ascii="Times New Roman" w:hAnsi="Times New Roman"/>
          <w:b/>
          <w:color w:val="000000"/>
          <w:sz w:val="20"/>
        </w:rPr>
        <w:t>NOTE 3 – 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Accounts receivable, net consists of contract and other customer receivables. A reconciliation of accounts receivable, net is as follows: </w:t>
      </w:r>
    </w:p>
    <w:tbl>
      <w:tblPr>
        <w:tblW w:w="7410" w:type="dxa"/>
        <w:jc w:val="left"/>
        <w:tblInd w:w="0" w:type="dxa"/>
        <w:tblLayout w:type="fixed"/>
        <w:tblCellMar>
          <w:top w:w="28" w:type="dxa"/>
          <w:left w:w="28" w:type="dxa"/>
          <w:bottom w:w="28" w:type="dxa"/>
          <w:right w:w="28" w:type="dxa"/>
        </w:tblCellMar>
      </w:tblPr>
      <w:tblGrid>
        <w:gridCol w:w="3176"/>
        <w:gridCol w:w="246"/>
        <w:gridCol w:w="306"/>
        <w:gridCol w:w="1134"/>
        <w:gridCol w:w="266"/>
        <w:gridCol w:w="246"/>
        <w:gridCol w:w="367"/>
        <w:gridCol w:w="1358"/>
        <w:gridCol w:w="311"/>
      </w:tblGrid>
      <w:tr>
        <w:trPr/>
        <w:tc>
          <w:tcPr>
            <w:tcW w:w="3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Billed and billable </w:t>
            </w:r>
            <w:r>
              <w:rPr>
                <w:rFonts w:ascii="Times New Roman" w:hAnsi="Times New Roman"/>
                <w:color w:val="000000"/>
                <w:sz w:val="13"/>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243,686</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241,129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Allowance for expected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239,999</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237,996</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Includes billed other customer receivables totaling $29.3</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$20.6</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at March 31, 2026 and December 31, 2025</w:t>
      </w:r>
      <w:r>
        <w:rPr>
          <w:rFonts w:ascii="Times New Roman" w:hAnsi="Times New Roman"/>
          <w:color w:val="000000"/>
          <w:sz w:val="20"/>
        </w:rPr>
        <w:t xml:space="preserve"> </w:t>
      </w:r>
      <w:r>
        <w:rPr>
          <w:rFonts w:ascii="Times New Roman" w:hAnsi="Times New Roman"/>
          <w:color w:val="000000"/>
          <w:sz w:val="16"/>
        </w:rPr>
        <w:t>, respectively, related to the Company’s energy incentive management business for its public utility clients.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sells certain billed accounts receivable in accordance with its Amended Master Receivables Purchase Agreement with MUFG Bank, Ltd. (“MUFG”) that are accounted for as sales under the Accounting Standards Codification (“ASC”) 860, Transfers and Servicing (“ASC 860”). The accounts receivable are sold without recourse and the Company does not retain any ongoing financial interest in the transferred accounts receivable, other than providing servicing activities. The following is a reconciliation of billed accounts receivable sold to MUFG:</w:t>
      </w:r>
    </w:p>
    <w:tbl>
      <w:tblPr>
        <w:tblW w:w="9693" w:type="dxa"/>
        <w:jc w:val="left"/>
        <w:tblInd w:w="0" w:type="dxa"/>
        <w:tblLayout w:type="fixed"/>
        <w:tblCellMar>
          <w:top w:w="28" w:type="dxa"/>
          <w:left w:w="28" w:type="dxa"/>
          <w:bottom w:w="28" w:type="dxa"/>
          <w:right w:w="28" w:type="dxa"/>
        </w:tblCellMar>
      </w:tblPr>
      <w:tblGrid>
        <w:gridCol w:w="6031"/>
        <w:gridCol w:w="146"/>
        <w:gridCol w:w="288"/>
        <w:gridCol w:w="1152"/>
        <w:gridCol w:w="226"/>
        <w:gridCol w:w="199"/>
        <w:gridCol w:w="288"/>
        <w:gridCol w:w="1152"/>
        <w:gridCol w:w="2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 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billed accounts receivable sold and not yet collected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Billed accounts receivable sold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CEE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Collections from customers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(120,247</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billed accounts receivable sold and not yet collected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For the three months ended March 31, 2026 and 2025, the Company recorded net outflows of $0.3</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net inflows of $5.2</w:t>
      </w:r>
      <w:r>
        <w:rPr>
          <w:rFonts w:ascii="Times New Roman" w:hAnsi="Times New Roman"/>
          <w:color w:val="000000"/>
          <w:sz w:val="20"/>
        </w:rPr>
        <w:t xml:space="preserve"> </w:t>
      </w:r>
      <w:r>
        <w:rPr>
          <w:rFonts w:ascii="Times New Roman" w:hAnsi="Times New Roman"/>
          <w:color w:val="000000"/>
          <w:sz w:val="16"/>
        </w:rPr>
        <w:t>million, respectively, in its cash flows from operating activities from the sale of billed accounts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reconciliation of cash collections from customers of billed accounts receivable previously sold to MUFG that were eligible and accounted for as sales under ASC 860:</w:t>
      </w:r>
    </w:p>
    <w:tbl>
      <w:tblPr>
        <w:tblW w:w="9033" w:type="dxa"/>
        <w:jc w:val="left"/>
        <w:tblInd w:w="0" w:type="dxa"/>
        <w:tblLayout w:type="fixed"/>
        <w:tblCellMar>
          <w:top w:w="28" w:type="dxa"/>
          <w:left w:w="28" w:type="dxa"/>
          <w:bottom w:w="28" w:type="dxa"/>
          <w:right w:w="28" w:type="dxa"/>
        </w:tblCellMar>
      </w:tblPr>
      <w:tblGrid>
        <w:gridCol w:w="5371"/>
        <w:gridCol w:w="146"/>
        <w:gridCol w:w="288"/>
        <w:gridCol w:w="1152"/>
        <w:gridCol w:w="226"/>
        <w:gridCol w:w="199"/>
        <w:gridCol w:w="288"/>
        <w:gridCol w:w="1152"/>
        <w:gridCol w:w="21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 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cash collected but not yet remitted to MUFG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Collections from customers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CEE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Remittances to MUFG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(112,005</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cash collected but not yet remitted to MUFG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For the three months ended March 31, 2026 and 2025, the Company recorded net inflows of $8.2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$5.5</w:t>
      </w:r>
      <w:r>
        <w:rPr>
          <w:rFonts w:ascii="Times New Roman" w:hAnsi="Times New Roman"/>
          <w:color w:val="000000"/>
          <w:sz w:val="20"/>
        </w:rPr>
        <w:t xml:space="preserve"> </w:t>
      </w:r>
      <w:r>
        <w:rPr>
          <w:rFonts w:ascii="Times New Roman" w:hAnsi="Times New Roman"/>
          <w:color w:val="000000"/>
          <w:sz w:val="16"/>
        </w:rPr>
        <w:t>million, respectively, in its cash flows from operating activities from the collection of billed accounts receivable that were sold but not yet remitted to MUFG.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aggregate impact of the sale of billed accounts receivable on the Company’s operating cash flows was net inflows of $7.9 million and $10.7 million for the three months ended March 31, 2026 and 2025,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March 31, 2026 and December 31, 2025, the amounts due to MUFG for cash collected and not yet remitted for billed accounts receivable sold that did not qualify as sales under ASC 860 totaled $2.5 million and $3.4 million, respectively. These amounts are included as part of “Accrued expenses and other current liabilities” on the Company’s consolidated balance sheets, and included within cash flows from financing activities on the Company’s consolidated statements of cash flows.</w:t>
      </w:r>
    </w:p>
    <w:p>
      <w:pPr>
        <w:pStyle w:val="TextBody"/>
        <w:bidi w:val="0"/>
        <w:spacing w:before="0" w:after="120"/>
        <w:jc w:val="left"/>
        <w:rPr/>
      </w:pPr>
      <w:r>
        <w:rPr/>
        <w:t> </w:t>
      </w:r>
    </w:p>
    <w:p>
      <w:pPr>
        <w:pStyle w:val="TextBody"/>
        <w:bidi w:val="0"/>
        <w:jc w:val="left"/>
        <w:rPr>
          <w:rFonts w:ascii="Times New Roman" w:hAnsi="Times New Roman"/>
          <w:b/>
          <w:color w:val="000000"/>
          <w:sz w:val="20"/>
        </w:rPr>
      </w:pPr>
      <w:bookmarkStart w:id="12" w:name="note_4_leases"/>
      <w:bookmarkEnd w:id="12"/>
      <w:r>
        <w:rPr>
          <w:rFonts w:ascii="Times New Roman" w:hAnsi="Times New Roman"/>
          <w:b/>
          <w:color w:val="000000"/>
          <w:sz w:val="20"/>
        </w:rPr>
        <w:t>NOTE 4 – LEASES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2026, the Company had operating and finance leases for facilities and equipment with remaining duration ranging from 1 to 13 years. Future minimum lease payments under non-cancellable operating and finance leases as of March 31, 2026 were as follows:</w:t>
      </w:r>
    </w:p>
    <w:tbl>
      <w:tblPr>
        <w:tblW w:w="6029" w:type="dxa"/>
        <w:jc w:val="left"/>
        <w:tblInd w:w="0" w:type="dxa"/>
        <w:tblLayout w:type="fixed"/>
        <w:tblCellMar>
          <w:top w:w="28" w:type="dxa"/>
          <w:left w:w="28" w:type="dxa"/>
          <w:bottom w:w="28" w:type="dxa"/>
          <w:right w:w="28" w:type="dxa"/>
        </w:tblCellMar>
      </w:tblPr>
      <w:tblGrid>
        <w:gridCol w:w="3281"/>
        <w:gridCol w:w="146"/>
        <w:gridCol w:w="211"/>
        <w:gridCol w:w="781"/>
        <w:gridCol w:w="166"/>
        <w:gridCol w:w="146"/>
        <w:gridCol w:w="211"/>
        <w:gridCol w:w="676"/>
        <w:gridCol w:w="411"/>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152,524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10,594</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3935" w:type="dxa"/>
        <w:jc w:val="left"/>
        <w:tblInd w:w="0" w:type="dxa"/>
        <w:tblLayout w:type="fixed"/>
        <w:tblCellMar>
          <w:top w:w="28" w:type="dxa"/>
          <w:left w:w="28" w:type="dxa"/>
          <w:bottom w:w="28" w:type="dxa"/>
          <w:right w:w="28" w:type="dxa"/>
        </w:tblCellMar>
      </w:tblPr>
      <w:tblGrid>
        <w:gridCol w:w="2506"/>
        <w:gridCol w:w="146"/>
        <w:gridCol w:w="211"/>
        <w:gridCol w:w="781"/>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152,524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163,118</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current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163,118</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3" w:name="note_5_debt"/>
      <w:bookmarkEnd w:id="13"/>
      <w:r>
        <w:rPr>
          <w:rFonts w:ascii="Times New Roman" w:hAnsi="Times New Roman"/>
          <w:b/>
          <w:color w:val="000000"/>
          <w:sz w:val="20"/>
        </w:rPr>
        <w:t>NOTE 5 – LONG-TERM 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2026 and December 31, 2025, long-term debt consisted of:</w:t>
      </w:r>
    </w:p>
    <w:tbl>
      <w:tblPr>
        <w:tblW w:w="8536" w:type="dxa"/>
        <w:jc w:val="left"/>
        <w:tblInd w:w="0" w:type="dxa"/>
        <w:tblLayout w:type="fixed"/>
        <w:tblCellMar>
          <w:top w:w="28" w:type="dxa"/>
          <w:left w:w="28" w:type="dxa"/>
          <w:bottom w:w="28" w:type="dxa"/>
          <w:right w:w="28" w:type="dxa"/>
        </w:tblCellMar>
      </w:tblPr>
      <w:tblGrid>
        <w:gridCol w:w="2821"/>
        <w:gridCol w:w="146"/>
        <w:gridCol w:w="1186"/>
        <w:gridCol w:w="146"/>
        <w:gridCol w:w="242"/>
        <w:gridCol w:w="899"/>
        <w:gridCol w:w="166"/>
        <w:gridCol w:w="146"/>
        <w:gridCol w:w="1186"/>
        <w:gridCol w:w="146"/>
        <w:gridCol w:w="242"/>
        <w:gridCol w:w="899"/>
        <w:gridCol w:w="3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b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b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Balance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Delayed-Draw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48,484</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402,734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Unamortized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401,355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Company had $512.4 million of unused borrowing capacity under the $600.0 million revolving line of credit under a credit agreement with a group of lenders (the “Credit Facility”). The unused borrowing capacity is inclusive of outstanding letters of credit totaling $1.6 million. The average interest rate on borrowings under the Credit Facility was 5.0% and 5.7% for the three months ended March 31, 2026 and 2025, respectively, and 5.6% for the twelve months ended December 31, 2025. Inclusive of the impact of floating-to-fixed interest rate swaps (see “Note 7 – Derivative Instruments and Hedging Activities”), the average interest rate was 5.1% for both the three months ended March 31, 2026 and 2025, respectively, and 5.4% for the twelve months ended December 31,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scheduled repayments of debt principal are as follows:</w:t>
      </w:r>
    </w:p>
    <w:tbl>
      <w:tblPr>
        <w:tblW w:w="9371" w:type="dxa"/>
        <w:jc w:val="left"/>
        <w:tblInd w:w="0" w:type="dxa"/>
        <w:tblLayout w:type="fixed"/>
        <w:tblCellMar>
          <w:top w:w="28" w:type="dxa"/>
          <w:left w:w="28" w:type="dxa"/>
          <w:bottom w:w="28" w:type="dxa"/>
          <w:right w:w="28" w:type="dxa"/>
        </w:tblCellMar>
      </w:tblPr>
      <w:tblGrid>
        <w:gridCol w:w="2251"/>
        <w:gridCol w:w="146"/>
        <w:gridCol w:w="170"/>
        <w:gridCol w:w="910"/>
        <w:gridCol w:w="146"/>
        <w:gridCol w:w="146"/>
        <w:gridCol w:w="368"/>
        <w:gridCol w:w="1972"/>
        <w:gridCol w:w="146"/>
        <w:gridCol w:w="146"/>
        <w:gridCol w:w="276"/>
        <w:gridCol w:w="1284"/>
        <w:gridCol w:w="146"/>
        <w:gridCol w:w="146"/>
        <w:gridCol w:w="146"/>
        <w:gridCol w:w="781"/>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Payments due by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Delayed-Draw Term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Credit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May 6, 2027 (Maturity)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On April 10, 2026, the Company refinanced the Credit Facility, extending the maturity date to April 10, 2031. See Note 15 – Subsequent Event.</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4" w:name="note_6_revenue_recognition"/>
      <w:bookmarkEnd w:id="14"/>
      <w:r>
        <w:rPr>
          <w:rFonts w:ascii="Times New Roman" w:hAnsi="Times New Roman"/>
          <w:b/>
          <w:color w:val="000000"/>
          <w:sz w:val="20"/>
        </w:rPr>
        <w:t>NOTE 6 –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Substantially all of the Company’s revenue is recognized over time as control of the related goods or services is transferred to customers. </w:t>
      </w:r>
    </w:p>
    <w:p>
      <w:pPr>
        <w:pStyle w:val="TextBody"/>
        <w:bidi w:val="0"/>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disaggregates revenue from clients into categories that depict how the nature, amount, and uncertainty of revenue and cash flows are affected by economic and business factors. Those categories are client market, client type, and contract mix.</w:t>
      </w:r>
    </w:p>
    <w:tbl>
      <w:tblPr>
        <w:tblW w:w="10050" w:type="dxa"/>
        <w:jc w:val="left"/>
        <w:tblInd w:w="0" w:type="dxa"/>
        <w:tblLayout w:type="fixed"/>
        <w:tblCellMar>
          <w:top w:w="28" w:type="dxa"/>
          <w:left w:w="28" w:type="dxa"/>
          <w:bottom w:w="28" w:type="dxa"/>
          <w:right w:w="28" w:type="dxa"/>
        </w:tblCellMar>
      </w:tblPr>
      <w:tblGrid>
        <w:gridCol w:w="4901"/>
        <w:gridCol w:w="146"/>
        <w:gridCol w:w="211"/>
        <w:gridCol w:w="781"/>
        <w:gridCol w:w="146"/>
        <w:gridCol w:w="146"/>
        <w:gridCol w:w="193"/>
        <w:gridCol w:w="558"/>
        <w:gridCol w:w="271"/>
        <w:gridCol w:w="146"/>
        <w:gridCol w:w="211"/>
        <w:gridCol w:w="781"/>
        <w:gridCol w:w="146"/>
        <w:gridCol w:w="146"/>
        <w:gridCol w:w="193"/>
        <w:gridCol w:w="558"/>
        <w:gridCol w:w="516"/>
      </w:tblGrid>
      <w:tr>
        <w:trPr/>
        <w:tc>
          <w:tcPr>
            <w:tcW w:w="4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Client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Energy, environment, infrastructure, and disaster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Health and social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Security and other civilian &amp; 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2786"/>
        <w:gridCol w:w="146"/>
        <w:gridCol w:w="211"/>
        <w:gridCol w:w="781"/>
        <w:gridCol w:w="146"/>
        <w:gridCol w:w="146"/>
        <w:gridCol w:w="193"/>
        <w:gridCol w:w="558"/>
        <w:gridCol w:w="271"/>
        <w:gridCol w:w="146"/>
        <w:gridCol w:w="211"/>
        <w:gridCol w:w="781"/>
        <w:gridCol w:w="146"/>
        <w:gridCol w:w="146"/>
        <w:gridCol w:w="193"/>
        <w:gridCol w:w="558"/>
        <w:gridCol w:w="616"/>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Client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federal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state and local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1796"/>
        <w:gridCol w:w="146"/>
        <w:gridCol w:w="211"/>
        <w:gridCol w:w="781"/>
        <w:gridCol w:w="146"/>
        <w:gridCol w:w="146"/>
        <w:gridCol w:w="193"/>
        <w:gridCol w:w="558"/>
        <w:gridCol w:w="271"/>
        <w:gridCol w:w="146"/>
        <w:gridCol w:w="211"/>
        <w:gridCol w:w="781"/>
        <w:gridCol w:w="146"/>
        <w:gridCol w:w="146"/>
        <w:gridCol w:w="193"/>
        <w:gridCol w:w="558"/>
        <w:gridCol w:w="516"/>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Time-and-materials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Assets and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Contract assets consist of unbilled receivables on contracts where revenue recognized exceeds the amount billed. Contract liabilities result from advance payments received on a contract or from billings in excess of revenue recognized.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contract assets and liabilities as of March 31, 2026 and December 31, 2025:</w:t>
      </w:r>
    </w:p>
    <w:tbl>
      <w:tblPr>
        <w:tblW w:w="10205" w:type="dxa"/>
        <w:jc w:val="left"/>
        <w:tblInd w:w="0" w:type="dxa"/>
        <w:tblLayout w:type="fixed"/>
        <w:tblCellMar>
          <w:top w:w="28" w:type="dxa"/>
          <w:left w:w="28" w:type="dxa"/>
          <w:bottom w:w="28" w:type="dxa"/>
          <w:right w:w="28" w:type="dxa"/>
        </w:tblCellMar>
      </w:tblPr>
      <w:tblGrid>
        <w:gridCol w:w="2453"/>
        <w:gridCol w:w="146"/>
        <w:gridCol w:w="2677"/>
        <w:gridCol w:w="146"/>
        <w:gridCol w:w="288"/>
        <w:gridCol w:w="1068"/>
        <w:gridCol w:w="166"/>
        <w:gridCol w:w="146"/>
        <w:gridCol w:w="338"/>
        <w:gridCol w:w="1250"/>
        <w:gridCol w:w="166"/>
        <w:gridCol w:w="146"/>
        <w:gridCol w:w="225"/>
        <w:gridCol w:w="676"/>
        <w:gridCol w:w="314"/>
      </w:tblGrid>
      <w:tr>
        <w:trPr/>
        <w:tc>
          <w:tcPr>
            <w:tcW w:w="2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Financial Statement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contract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decrease in net contract assets (liabilities) is primarily due to the timing difference between the performance of services and billings to customers. During the three months ended March 31, 2026 and 2025, the Company recognized $13.9 million and $12.8 million in revenue related to the contract liabilities balance at December 31, 2025 and 2024,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Unfulfilled Performance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computing unfulfilled performance obligations (“UPO”), the Company excludes contracts with stated term of one year or less (practical expedient), and contracts with the U.S. federal government. As of March 31, 2026, the UPO was $0.2 billion, of which 46% is expected to be recognized as revenue by December 31, 2026, 64% by December 31, 2027, 86% by December 31, 2028, and the remainder by December 31, 2029.</w:t>
      </w:r>
    </w:p>
    <w:p>
      <w:pPr>
        <w:pStyle w:val="TextBody"/>
        <w:bidi w:val="0"/>
        <w:spacing w:before="0" w:after="120"/>
        <w:jc w:val="left"/>
        <w:rPr/>
      </w:pPr>
      <w:r>
        <w:rPr/>
        <w:t> </w:t>
      </w:r>
    </w:p>
    <w:p>
      <w:pPr>
        <w:pStyle w:val="TextBody"/>
        <w:bidi w:val="0"/>
        <w:jc w:val="left"/>
        <w:rPr>
          <w:rFonts w:ascii="Times New Roman" w:hAnsi="Times New Roman"/>
          <w:b/>
          <w:color w:val="000000"/>
          <w:sz w:val="20"/>
        </w:rPr>
      </w:pPr>
      <w:bookmarkStart w:id="15" w:name="note_7_derivative_instruments_and_hedge"/>
      <w:bookmarkEnd w:id="15"/>
      <w:r>
        <w:rPr>
          <w:rFonts w:ascii="Times New Roman" w:hAnsi="Times New Roman"/>
          <w:b/>
          <w:color w:val="000000"/>
          <w:sz w:val="20"/>
        </w:rPr>
        <w:t>NOTE 7 – DERIVATIVE INSTRUMENTS AND HEDGING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2026, the Company had floating-to-fixed interest rate swap agreements (the “Swaps”) for an aggregate notional amount of $175.0 million, of which $50.0 million will mature on February 28, 2030, $25.0 million will mature on June 26, 2030, and $100.0 million will mature on July 31, 2030. The Company has designated the Swaps as cash flow hedges. See “Note 5 – Long-Term Debt” for details on the impact of the Swaps on the Company’s interest rates, and “Note 12 – Fair Value” for the fair value of these Swaps.</w:t>
      </w:r>
    </w:p>
    <w:p>
      <w:pPr>
        <w:pStyle w:val="TextBody"/>
        <w:bidi w:val="0"/>
        <w:spacing w:before="0" w:after="120"/>
        <w:jc w:val="left"/>
        <w:rPr/>
      </w:pPr>
      <w:r>
        <w:rPr/>
        <w:t> </w:t>
      </w:r>
    </w:p>
    <w:p>
      <w:pPr>
        <w:pStyle w:val="TextBody"/>
        <w:bidi w:val="0"/>
        <w:jc w:val="left"/>
        <w:rPr>
          <w:rFonts w:ascii="Times New Roman" w:hAnsi="Times New Roman"/>
          <w:sz w:val="20"/>
        </w:rPr>
      </w:pPr>
      <w:bookmarkStart w:id="16" w:name="note_8_income_taxes"/>
      <w:bookmarkEnd w:id="16"/>
      <w:r>
        <w:rPr>
          <w:rFonts w:ascii="Times New Roman" w:hAnsi="Times New Roman"/>
          <w:b/>
          <w:color w:val="000000"/>
          <w:sz w:val="20"/>
        </w:rPr>
        <w:t xml:space="preserve">NOTE 8 </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effective tax rate (the “ETR”) was 25.1% and 10.5% for the three months ended March 31, 2026 and 2025, respectively. The change in the ETR was primarily due to an income tax benefit of $4.5 million, or 14.8%, recognized in the first quarter of 2025 related to the regulations under Internal Revenue Code (“IRC”) 987, and income tax provisions of $1.9 million, or 6.9%, in the first quarter of 2026 attributable to stock-based compensation vesting.</w:t>
      </w:r>
    </w:p>
    <w:p>
      <w:pPr>
        <w:pStyle w:val="TextBody"/>
        <w:bidi w:val="0"/>
        <w:spacing w:before="0" w:after="120"/>
        <w:jc w:val="left"/>
        <w:rPr/>
      </w:pPr>
      <w:r>
        <w:rPr/>
        <w:t> </w:t>
      </w:r>
    </w:p>
    <w:p>
      <w:pPr>
        <w:pStyle w:val="TextBody"/>
        <w:bidi w:val="0"/>
        <w:jc w:val="left"/>
        <w:rPr>
          <w:rFonts w:ascii="Times New Roman" w:hAnsi="Times New Roman"/>
          <w:b/>
          <w:color w:val="000000"/>
          <w:sz w:val="20"/>
        </w:rPr>
      </w:pPr>
      <w:bookmarkStart w:id="17" w:name="note_9_stockholders_equity"/>
      <w:bookmarkEnd w:id="17"/>
      <w:r>
        <w:rPr>
          <w:rFonts w:ascii="Times New Roman" w:hAnsi="Times New Roman"/>
          <w:b/>
          <w:color w:val="000000"/>
          <w:sz w:val="20"/>
        </w:rPr>
        <w:t>NOTE 9 – STOCKHOLDERS’ EQUITY</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Accumulated Other Comprehensive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Accumulated other comprehensive loss as of March 31, 2026 and 2025 included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24"/>
        <w:gridCol w:w="146"/>
        <w:gridCol w:w="254"/>
        <w:gridCol w:w="887"/>
        <w:gridCol w:w="166"/>
        <w:gridCol w:w="146"/>
        <w:gridCol w:w="303"/>
        <w:gridCol w:w="908"/>
        <w:gridCol w:w="166"/>
        <w:gridCol w:w="146"/>
        <w:gridCol w:w="211"/>
        <w:gridCol w:w="736"/>
        <w:gridCol w:w="412"/>
      </w:tblGrid>
      <w:tr>
        <w:trPr/>
        <w:tc>
          <w:tcPr>
            <w:tcW w:w="5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 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br/>
              <w:t>Fair Value of</w:t>
              <w:br/>
              <w:t>Interest Rate</w:t>
              <w:br/>
              <w:t>Hedge</w:t>
              <w:br/>
              <w:t>Agreements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41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Amounts reclassified from accumulated other comprehensive (loss)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412"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w:t>
            </w:r>
          </w:p>
        </w:tc>
        <w:tc>
          <w:tcPr>
            <w:tcW w:w="4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The Company expects to reclassify approximately $0.2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of unrealized losses related to the Change in Fair Value of Interest Rate Hedge Agreements from accumulated other comprehensive (loss) income into earnings during the next 12 months.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43"/>
        <w:gridCol w:w="146"/>
        <w:gridCol w:w="254"/>
        <w:gridCol w:w="887"/>
        <w:gridCol w:w="166"/>
        <w:gridCol w:w="146"/>
        <w:gridCol w:w="303"/>
        <w:gridCol w:w="908"/>
        <w:gridCol w:w="166"/>
        <w:gridCol w:w="146"/>
        <w:gridCol w:w="211"/>
        <w:gridCol w:w="736"/>
        <w:gridCol w:w="393"/>
      </w:tblGrid>
      <w:tr>
        <w:trPr/>
        <w:tc>
          <w:tcPr>
            <w:tcW w:w="5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br/>
              <w:t>Fair Value of</w:t>
              <w:br/>
              <w:t>Interest Rate</w:t>
              <w:br/>
              <w:t>Hedge</w:t>
              <w:br/>
              <w:t>Agreements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Amounts reclassified from accumulated other comprehensive (loss)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(18,459</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During the first quarter of 2025, the Company reclassified $4.1</w:t>
      </w:r>
      <w:r>
        <w:rPr>
          <w:rFonts w:ascii="Times New Roman" w:hAnsi="Times New Roman"/>
          <w:color w:val="000000"/>
          <w:sz w:val="20"/>
        </w:rPr>
        <w:t xml:space="preserve"> </w:t>
      </w:r>
      <w:r>
        <w:rPr>
          <w:rFonts w:ascii="Times New Roman" w:hAnsi="Times New Roman"/>
          <w:color w:val="000000"/>
          <w:sz w:val="16"/>
        </w:rPr>
        <w:t>million of effect of taxes related to Foreign Currency Translation Adjustments from accumulated other comprehensive (loss) income into earnings in connection with IRC 987.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repurchases shares under the $300.0 million share repurchase program authorized by the Company’s board of directors. In addition, the Company repurchases shares in connection with the vesting of restricted stock units (“RSUs”) and performance share awards (“PSAs”) granted to employees.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Repurchases for the three months ended March 31, 2026 and 2025 are as follows:</w:t>
      </w:r>
    </w:p>
    <w:tbl>
      <w:tblPr>
        <w:tblW w:w="7340" w:type="dxa"/>
        <w:jc w:val="left"/>
        <w:tblInd w:w="0" w:type="dxa"/>
        <w:tblLayout w:type="fixed"/>
        <w:tblCellMar>
          <w:top w:w="28" w:type="dxa"/>
          <w:left w:w="28" w:type="dxa"/>
          <w:bottom w:w="28" w:type="dxa"/>
          <w:right w:w="28" w:type="dxa"/>
        </w:tblCellMar>
      </w:tblPr>
      <w:tblGrid>
        <w:gridCol w:w="2281"/>
        <w:gridCol w:w="146"/>
        <w:gridCol w:w="781"/>
        <w:gridCol w:w="146"/>
        <w:gridCol w:w="289"/>
        <w:gridCol w:w="926"/>
        <w:gridCol w:w="146"/>
        <w:gridCol w:w="146"/>
        <w:gridCol w:w="146"/>
        <w:gridCol w:w="781"/>
        <w:gridCol w:w="146"/>
        <w:gridCol w:w="289"/>
        <w:gridCol w:w="92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 Program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355,858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39,348</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8" w:name="note_10_stockbased_awards"/>
      <w:bookmarkEnd w:id="18"/>
      <w:r>
        <w:rPr>
          <w:rFonts w:ascii="Times New Roman" w:hAnsi="Times New Roman"/>
          <w:b/>
          <w:color w:val="000000"/>
          <w:sz w:val="20"/>
        </w:rPr>
        <w:t>NOTE 10 – 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Company’s 2018 Amended and Restated Omnibus Incentive Plan (the “2018 A&amp;R Omnibus Plan”) allows the Company to grant up to 2,050,000 total shares of common stock to officers, key employees, and non-employee directors. As of March 31, 2026, the Company had 579,300 shares available for grant under the 2018 A&amp;R Omnibus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awards were granted during the three months ended March 31, 2026 and 2025:</w:t>
      </w:r>
    </w:p>
    <w:tbl>
      <w:tblPr>
        <w:tblW w:w="8250" w:type="dxa"/>
        <w:jc w:val="left"/>
        <w:tblInd w:w="0" w:type="dxa"/>
        <w:tblLayout w:type="fixed"/>
        <w:tblCellMar>
          <w:top w:w="28" w:type="dxa"/>
          <w:left w:w="28" w:type="dxa"/>
          <w:bottom w:w="28" w:type="dxa"/>
          <w:right w:w="28" w:type="dxa"/>
        </w:tblCellMar>
      </w:tblPr>
      <w:tblGrid>
        <w:gridCol w:w="2701"/>
        <w:gridCol w:w="146"/>
        <w:gridCol w:w="146"/>
        <w:gridCol w:w="781"/>
        <w:gridCol w:w="146"/>
        <w:gridCol w:w="146"/>
        <w:gridCol w:w="146"/>
        <w:gridCol w:w="781"/>
        <w:gridCol w:w="146"/>
        <w:gridCol w:w="146"/>
        <w:gridCol w:w="315"/>
        <w:gridCol w:w="854"/>
        <w:gridCol w:w="218"/>
        <w:gridCol w:w="218"/>
        <w:gridCol w:w="315"/>
        <w:gridCol w:w="854"/>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Awards - 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Awards - PSAs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Cash-Settled 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68,613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stock-based compensation expense was $5.4 million and $4.0 million for the three months ended March 31, 2026 and 2025, respectively. The unrecognized compensation expense at March 31, 2026 was $36.2 million, which is expected to vest over the next 2.1 years.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9" w:name="note_11_earnings_per_share"/>
      <w:bookmarkEnd w:id="19"/>
      <w:r>
        <w:rPr>
          <w:rFonts w:ascii="Times New Roman" w:hAnsi="Times New Roman"/>
          <w:b/>
          <w:color w:val="000000"/>
          <w:sz w:val="20"/>
        </w:rPr>
        <w:t>NOTE 11 –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Earnings per share (“EPS”), including the dilutive effect of stock awards for each period reported is summarized below:</w:t>
      </w:r>
    </w:p>
    <w:p>
      <w:pPr>
        <w:pStyle w:val="TextBody"/>
        <w:bidi w:val="0"/>
        <w:jc w:val="left"/>
        <w:rPr/>
      </w:pPr>
      <w:r>
        <w:rPr/>
        <w:t> </w:t>
      </w:r>
    </w:p>
    <w:tbl>
      <w:tblPr>
        <w:tblW w:w="8524" w:type="dxa"/>
        <w:jc w:val="left"/>
        <w:tblInd w:w="0" w:type="dxa"/>
        <w:tblLayout w:type="fixed"/>
        <w:tblCellMar>
          <w:top w:w="28" w:type="dxa"/>
          <w:left w:w="28" w:type="dxa"/>
          <w:bottom w:w="28" w:type="dxa"/>
          <w:right w:w="28" w:type="dxa"/>
        </w:tblCellMar>
      </w:tblPr>
      <w:tblGrid>
        <w:gridCol w:w="6121"/>
        <w:gridCol w:w="146"/>
        <w:gridCol w:w="211"/>
        <w:gridCol w:w="676"/>
        <w:gridCol w:w="146"/>
        <w:gridCol w:w="146"/>
        <w:gridCol w:w="211"/>
        <w:gridCol w:w="676"/>
        <w:gridCol w:w="19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basic shares outstanding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diluted shares outstanding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2,243 and 79,863 of potentially dilutive shares of restricted stock awards that were excluded from the calculation of weighted-average diluted share computations for the three months ended March 31, 2026 and 2025, respectively, because they were anti-dilutive.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20" w:name="note_12_fair_value"/>
      <w:bookmarkEnd w:id="20"/>
      <w:r>
        <w:rPr>
          <w:rFonts w:ascii="Times New Roman" w:hAnsi="Times New Roman"/>
          <w:b/>
          <w:color w:val="000000"/>
          <w:sz w:val="20"/>
        </w:rPr>
        <w:t>NOTE 12 –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measured at fair value on a recurring basis and their location within the accompanying consolidated balance sheets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4"/>
        <w:gridCol w:w="261"/>
        <w:gridCol w:w="431"/>
        <w:gridCol w:w="146"/>
        <w:gridCol w:w="146"/>
        <w:gridCol w:w="211"/>
        <w:gridCol w:w="676"/>
        <w:gridCol w:w="146"/>
        <w:gridCol w:w="146"/>
        <w:gridCol w:w="261"/>
        <w:gridCol w:w="431"/>
        <w:gridCol w:w="146"/>
        <w:gridCol w:w="146"/>
        <w:gridCol w:w="211"/>
        <w:gridCol w:w="676"/>
        <w:gridCol w:w="146"/>
        <w:gridCol w:w="146"/>
        <w:gridCol w:w="3045"/>
      </w:tblGrid>
      <w:tr>
        <w:trPr/>
        <w:tc>
          <w:tcPr>
            <w:tcW w:w="28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on Balance Sheet</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 life insurance policies</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current portion</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expenses and other current liabilities</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long-term portion</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long-term liabilities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Cash-Settled RSUs</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salaries and benefits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4"/>
        <w:gridCol w:w="261"/>
        <w:gridCol w:w="431"/>
        <w:gridCol w:w="146"/>
        <w:gridCol w:w="146"/>
        <w:gridCol w:w="211"/>
        <w:gridCol w:w="676"/>
        <w:gridCol w:w="146"/>
        <w:gridCol w:w="146"/>
        <w:gridCol w:w="261"/>
        <w:gridCol w:w="431"/>
        <w:gridCol w:w="146"/>
        <w:gridCol w:w="146"/>
        <w:gridCol w:w="211"/>
        <w:gridCol w:w="676"/>
        <w:gridCol w:w="146"/>
        <w:gridCol w:w="146"/>
        <w:gridCol w:w="3045"/>
      </w:tblGrid>
      <w:tr>
        <w:trPr/>
        <w:tc>
          <w:tcPr>
            <w:tcW w:w="28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on Balance Sheet</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 life insurance policies</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current portion</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expenses and other current liabilities</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long-term portion</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long-term liabilities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Cash-Settled RSUs</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salaries and benefits</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21" w:name="note_13_commitments_contingencies"/>
      <w:bookmarkEnd w:id="21"/>
      <w:r>
        <w:rPr>
          <w:rFonts w:ascii="Times New Roman" w:hAnsi="Times New Roman"/>
          <w:b/>
          <w:color w:val="000000"/>
          <w:sz w:val="20"/>
        </w:rPr>
        <w:t>NOTE 13 –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Letters of Credit and 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open standby letters of credit totaling $1.6 million at both March 31, 2026 and December 31, 2025. Open standby letters of credit reduce the Company’s borrowing capacity under the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2026 and December 31, 2025, the Company had $5.8 million and $7.0 million, respectively, of bank guarantees for facility leases and contract performance obligations.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Litigation and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in various legal matters and proceedings arising in the ordinary course of business. While these matters and proceedings cause it to incur costs, including, but not limited to, attorneys’ fees, the Company currently believes that any ultimate liability arising out of these matters and proceedings will not have a material adverse effect on its financial position, results of operations, or cash flows.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22" w:name="note_15_segment_information"/>
      <w:bookmarkEnd w:id="22"/>
      <w:r>
        <w:rPr>
          <w:rFonts w:ascii="Times New Roman" w:hAnsi="Times New Roman"/>
          <w:b/>
          <w:color w:val="000000"/>
          <w:sz w:val="20"/>
        </w:rPr>
        <w:t xml:space="preserve">NOTE 14 </w:t>
      </w:r>
      <w:r>
        <w:rPr>
          <w:rFonts w:ascii="Times New Roman" w:hAnsi="Times New Roman"/>
          <w:color w:val="000000"/>
          <w:sz w:val="20"/>
        </w:rPr>
        <w:t xml:space="preserve">– </w:t>
      </w: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a broad array of professional services to its clients across several markets, primarily within the U.S. The Company operates as a single reportable and operating segment because the Chief Operating Decision Maker (the “CODM”), which is the Chief Executive Officer, manages the business activities on a consolidated basis. Although the Company disaggregates its revenue by client market and client type, it does not manage its business or allocate resources based on client market or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of the segment based on consolidated net income that is reported on the Company’s consolidated statements of comprehensive income. The CODM uses consolidated net income to evaluate the Company’s performance against budgets and decide whether to use the profits to invest in the business, paydown debt, repurchase stock, pay dividends, or fund acquisitions. Asset information provided to the CODM is not used for the purpose of making decisions and assessing performance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segment revenue, significant segment expenses, and segment profit are as follows:</w:t>
      </w:r>
    </w:p>
    <w:tbl>
      <w:tblPr>
        <w:tblW w:w="8981" w:type="dxa"/>
        <w:jc w:val="left"/>
        <w:tblInd w:w="0" w:type="dxa"/>
        <w:tblLayout w:type="fixed"/>
        <w:tblCellMar>
          <w:top w:w="28" w:type="dxa"/>
          <w:left w:w="28" w:type="dxa"/>
          <w:bottom w:w="28" w:type="dxa"/>
          <w:right w:w="28" w:type="dxa"/>
        </w:tblCellMar>
      </w:tblPr>
      <w:tblGrid>
        <w:gridCol w:w="5756"/>
        <w:gridCol w:w="146"/>
        <w:gridCol w:w="258"/>
        <w:gridCol w:w="957"/>
        <w:gridCol w:w="179"/>
        <w:gridCol w:w="179"/>
        <w:gridCol w:w="258"/>
        <w:gridCol w:w="957"/>
        <w:gridCol w:w="291"/>
      </w:tblGrid>
      <w:tr>
        <w:trPr/>
        <w:tc>
          <w:tcPr>
            <w:tcW w:w="5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Significant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labor and related fringe benefit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Subcontractors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Indirect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118,827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 assets acquired in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Other segment expense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segment expense includes interest income and gains/losses on foreign currency and disposition of assets.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23" w:name="subsequent_event"/>
      <w:bookmarkEnd w:id="23"/>
      <w:r>
        <w:rPr>
          <w:rFonts w:ascii="Times New Roman" w:hAnsi="Times New Roman"/>
          <w:b/>
          <w:color w:val="000000"/>
          <w:sz w:val="20"/>
        </w:rPr>
        <w:t xml:space="preserve">NOTE 15 </w:t>
      </w:r>
      <w:r>
        <w:rPr>
          <w:rFonts w:ascii="Times New Roman" w:hAnsi="Times New Roman"/>
          <w:color w:val="000000"/>
          <w:sz w:val="20"/>
        </w:rPr>
        <w:t xml:space="preserve">– </w:t>
      </w:r>
      <w:r>
        <w:rPr>
          <w:rFonts w:ascii="Times New Roman" w:hAnsi="Times New Roman"/>
          <w:b/>
          <w:color w:val="000000"/>
          <w:sz w:val="20"/>
        </w:rPr>
        <w:t>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10, 2026, the Company completed the refinancing of its current Amended and Restated Credit Agreement, dated May 6, 2022 (the “Existing Credit Agreement”) by entering into an Amended and Restated Credit Agreement (the “Amended and Restated Credit Agreement”) with PNC Bank, National Association as administrative agent, BOFA Securities, Inc., and Wells Fargo Securities, LLC as the joint lead arrangers, certain other financial institutions as lenders, and certain guarantors party thereto.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and Restated Credit Agreement: (a) maintains a $600 million revolving credit facility (together and inclusive of a $75 million swing line sublimit and $100 million sublimit for letters of credit); (b) increases the existing term loan facility from $300 million to $450 million; (c) maintains a delayed draw term loan facility of $400 million; (d) increases the existing incremental credit facility from an aggregate principal amount of not more than $300.0 million, to an aggregate principal amount not to exceed the greater of (i) $300.0 million and (ii) 100% of Consolidated EBITDA, plus the amounts of voluntary prepayments of Term Loans and Delayed Draw Term Loans; (e) amends the definition of “Consolidated Indebtedness” to net Unrestricted Cash and replaces the existing maximum Consolidated Leverage Ratio covenant with a maximum Consolidated Net Leverage Ratio covenant, which is maintained at a maximum of 4.50 to 1.00 (with temporary increases to 5.00 to 1.00 for the three fiscal quarters following a “Material Permitted Acquisition”); (f) extends the maturity date of the Credit Facility until April 10, 2031; and (g) modifies certain definitions and covenants.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tem_2___managements_discussion_analysis"/>
      <w:bookmarkEnd w:id="24"/>
      <w:r>
        <w:rPr>
          <w:rFonts w:ascii="Times New Roman" w:hAnsi="Times New Roman"/>
          <w:b/>
          <w:color w:val="000000"/>
          <w:sz w:val="20"/>
        </w:rPr>
        <w:t>Item 2. Management’s Discussion and Analysis</w:t>
      </w:r>
      <w:r>
        <w:rPr>
          <w:rFonts w:ascii="Times New Roman" w:hAnsi="Times New Roman"/>
          <w:color w:val="000000"/>
          <w:sz w:val="20"/>
        </w:rPr>
        <w:t xml:space="preserve"> </w:t>
      </w:r>
      <w:r>
        <w:rPr>
          <w:rFonts w:ascii="Times New Roman" w:hAnsi="Times New Roman"/>
          <w:b/>
          <w:color w:val="000000"/>
          <w:sz w:val="20"/>
        </w:rPr>
        <w:t>of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statements in this Quarterly Report on Form 10-Q (this “Quarterly Report”) constitute forward-looking statements as defined in the Private Securities Litigation Reform Act of 1995, as amended.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these statements by forward-looking words such as “anticipate,” “believe,” “could,” “estimate,” “expect,” “intend,” “may,” “plan,” “potential,” “should,” “will,” “would,” or similar words. You should read statements that contain these words carefully.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forward-looking statements are based on the beliefs and assumptions of our management and the information available to our management at the time these disclosures were prepared. Although we believe the expectations reflected in these statements are reasonable, we cannot guarantee future results, levels of activity, performance, or achievements. You should not place undue reliance on these forward-looking statements, which apply only as of the date of this Quarterly Report. We undertake no obligation to update these forward-looking statements, even if our situation changes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“we,” “our,” “us,” and “the Company,” as used throughout this Quarterly Report, refer to ICF International, Inc. and its subsidiaries, unless otherwise indicated. The terms “federal” or “federal government” refer to the U.S. federal government, and “state and local” or “state and local government” refer to U.S. state and local governments and the governments of U.S. territories. The following discussion and analysis is intended to help the reader understand our business, financial condition, results of operations, and liquidity and capital resources. You should read this discussion in conjunction with our consolidated financial statements and the related notes contained elsewhere in this Quarterly Report and our Annual Report on Form 10-K for the fiscal year ended December 31, 2025, filed with the SEC on February 27, 2026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 AND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professional services and technology-based solutions, including management, technology, and policy consulting and implementation services. We help our clients conceive, develop, implement, and improve solutions that address complex business, natural resource, social, technological, and public safety issues. Our clients include U.S. federal, state, local and international governments or their agencies, as well as commercial entities. Our services primarily support clients that operate in these key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Energy, Environment, Infrastructure, and Disaster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and Social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Other Civilian &amp; Commercial.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services to our diverse client base that deliver value throughout the entire life cycle of a policy, program, project, or initiative. Our primary services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Advisory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Implementation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Analytics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Digital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Engagement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in the long-term, demand for our services will continue to grow as government, industry, and other stakeholders seek to address critical long-term societal and natural resource issues due to heightened concerns about the environment and use of clean energy and energy efficiency; health promotion, treatment, and cost control; the means by which healthcare can be delivered effectively on a cross-jurisdiction basis; natural disaster relief and rebuild efforts; and ongoing homeland security threats. In the wake of the major hurricanes that devastated communities in Texas, Florida, North Carolina, Louisiana, the U.S. Virgin Islands, and Puerto Rico, and the impact of wildfires in Hawaii, Oregon, and southern California, the affected areas remain in various stages of evacuation, relief, and recovery efforts. We believe our prior and current experience with disaster relief and rebuild efforts, including after hurricanes (Katrina, Rita, and more recently Helene and Milton) and Superstorm Sandy, and the wildfires in Oregon, put us in a favorable position to continue to provide recovery and housing assistance, and environmental and infrastructure solutions, including disaster mitigation, on behalf of federal departments and agencies, state, territorial, and local jurisdictions, and regional agencies.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federal government continues to sharpen its focus on efficiency, transparency, consolidation, and accountability, we see growth opportunities for our fit-for-purpose technology solutions. Our offerings are innovative, agile, scalable, and aligned with commercial best practices, delivering clear and measurable outcomes. By combining deep institutional knowledge of our clients’ markets and data with our proven expertise in artificial intelligence, open source, cloud-native, and commercially available off the shelf low-code and no-code platforms, we are able to deliver highly functional, cost-effective solutions that meet the evolving demands of our customers while driving greater value and impact for taxpayers.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results will depend on the success of our strategy to enhance our client relationships and seek larger engagements that span the entire program life cycle, and to complete and successfully integrate additional strategic acquisitions. We will continue to focus on building scale in our vertical and horizontal domain expertise, developing business with our existing clients as well as new customers, and replicating our business model in selective geographies. In doing so, we will continue to evaluate strategic acquisition opportunities that enhance our subject matter knowledge, broaden our service offerings, gain access to or expand customer relationships, and/or provide scale in specific geographies.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continue to see favorable long-term market opportunities, there are certain business challenges facing all government service providers. The very nature of opportunities arising out of disaster recovery means they can involve unusual challenges. Factors such as the overall stress on communities and people affected by disaster recovery situations, political complexities, challenges among involved government agencies, and a higher-than-normal risk of audits and investigations may result in a reduction to our revenue and profit and adversely affect cash flow; however, we believe we are well positioned to provide a broad range of services in support of initiatives that will continue to be priorities to the federal government, as well as to state and local and international governments and commercial clients.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and policies from those disclosed in Part II, Item 7 of our Annual Report on Form 10-K for the fiscal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Three Months Ended March 31, 2026 Compared to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sets forth select line items of our unaudited consolidated statements of comprehensive income, the percentage of revenue for these select items, and the period-over-period rate of change and percentage of revenue for the periods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0"/>
        <w:gridCol w:w="146"/>
        <w:gridCol w:w="211"/>
        <w:gridCol w:w="781"/>
        <w:gridCol w:w="166"/>
        <w:gridCol w:w="146"/>
        <w:gridCol w:w="211"/>
        <w:gridCol w:w="781"/>
        <w:gridCol w:w="166"/>
        <w:gridCol w:w="146"/>
        <w:gridCol w:w="149"/>
        <w:gridCol w:w="583"/>
        <w:gridCol w:w="290"/>
        <w:gridCol w:w="149"/>
        <w:gridCol w:w="149"/>
        <w:gridCol w:w="583"/>
        <w:gridCol w:w="284"/>
        <w:gridCol w:w="146"/>
        <w:gridCol w:w="211"/>
        <w:gridCol w:w="736"/>
        <w:gridCol w:w="166"/>
        <w:gridCol w:w="146"/>
        <w:gridCol w:w="152"/>
        <w:gridCol w:w="599"/>
        <w:gridCol w:w="618"/>
      </w:tblGrid>
      <w:tr>
        <w:trPr/>
        <w:tc>
          <w:tcPr>
            <w:tcW w:w="2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Percentages of Revenue</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Year-to-Year Change</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labor and related fringe benefit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Subcontractor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Direct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302,542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and selling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 assets acquired in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The decrease in revenue was driven by a reduction of $56.7 million from our U.S. federal government clients primarily as a result of terminated contracts during the first half of 2025 due to the Administration’s changing priorities and the actions recommended by the Department of Government Efficiency. Revenue from our commercial, U.S. state and local government, and international government clients increased a combined $6.6 million to offset the decrease of revenue from our U.S. federal government clients. The following were changes in revenue from our various client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Energy, Environment, Infrastructure, and Disaster Recovery client market revenues decreased $6.4 million, or 2.7%, due to a decrease of $11.3 million from our U.S. federal government clients, offset by increases of $2.8 million, $1.9 million, and $0.2 million from our commercial, international government, and U.S. state and local government clients,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and Social Programs client market revenues decreased $26.8 million, or 15.9%, due to decreases of $31.8 million and $0.4 million from our U.S. federal government and U.S. state and local government clients, respectively, offset by increases of $3.2 million and $2.2 million from our international government and commercial clients,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Other Civilian &amp; Commercial client market revenues decreased by $16.9 million, or 21.2%, due to decreases of $13.6 million, $3.1 million, and $0.3 million from our U.S. federal government, commercial, and international government clients, respectively, offset by an increase of $0.1 million from our U.S. state and local government 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for the three months ended March 31, 2026 includes subcontractor and other direct costs, which decreased $8.0 million, or 7.2%, from the first quarter of 2025 and totaled $102.7 million and $110.6 million for the three months ended March 31, 2026 and 2025, respectively, and the margin on such costs. </w:t>
      </w:r>
    </w:p>
    <w:p>
      <w:pPr>
        <w:pStyle w:val="TextBody"/>
        <w:bidi w:val="0"/>
        <w:spacing w:before="120" w:after="283"/>
        <w:jc w:val="left"/>
        <w:rPr>
          <w:rFonts w:ascii="Times New Roman" w:hAnsi="Times New Roman"/>
          <w:sz w:val="20"/>
        </w:rPr>
      </w:pPr>
      <w:r>
        <w:rPr>
          <w:rFonts w:ascii="Times New Roman" w:hAnsi="Times New Roman"/>
          <w:b/>
          <w:i/>
          <w:color w:val="000000"/>
          <w:sz w:val="20"/>
        </w:rPr>
        <w:t>Direct Costs</w:t>
      </w:r>
      <w:r>
        <w:rPr>
          <w:rFonts w:ascii="Times New Roman" w:hAnsi="Times New Roman"/>
          <w:b/>
          <w:color w:val="000000"/>
          <w:sz w:val="20"/>
        </w:rPr>
        <w:t>.</w:t>
      </w:r>
      <w:r>
        <w:rPr>
          <w:rFonts w:ascii="Times New Roman" w:hAnsi="Times New Roman"/>
          <w:color w:val="000000"/>
          <w:sz w:val="20"/>
        </w:rPr>
        <w:t xml:space="preserve"> For the three months ended March 31, 2026 and 2025, direct labor and related fringe benefit costs as a percentage of direct costs were 62.1% and 63.4%, respectively, and subcontractor and other direct costs as a percentage of direct costs were 37.9% and 36.6%, respectively. As a percentage of revenue, direct labor and related fringe benefit costs were 38.4% and 39.4%, respectively, and subcontractor and other direct costs were 23.5% and 22.7%, respectively, for the three months ended March 31,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Indirect and selling expenses.</w:t>
      </w:r>
      <w:r>
        <w:rPr>
          <w:rFonts w:ascii="Times New Roman" w:hAnsi="Times New Roman"/>
          <w:color w:val="000000"/>
          <w:sz w:val="20"/>
        </w:rPr>
        <w:t xml:space="preserve"> The change in total indirect and selling expenses were due to decreases of $10.5 million and $2.6 million, respectively, in indirect labor and related fringe benefit costs and general and administrative costs for the three months ended March 31, 2026 compared to the same period in 2025. Indirect labor and related fringe benefit costs as a percentage of indirect and selling expenses were 73.6% and 74.3% for the three months ended March 31, 2026 and 2025, respectively, and general and administrative costs as a percentage of indirect and selling expenses were 26.4% and 25.7% for the three months ended March 31, 2026 and 2025,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Depreciation and amortization</w:t>
      </w:r>
      <w:r>
        <w:rPr>
          <w:rFonts w:ascii="Times New Roman" w:hAnsi="Times New Roman"/>
          <w:b/>
          <w:color w:val="000000"/>
          <w:sz w:val="20"/>
        </w:rPr>
        <w:t>.</w:t>
      </w:r>
      <w:r>
        <w:rPr>
          <w:rFonts w:ascii="Times New Roman" w:hAnsi="Times New Roman"/>
          <w:color w:val="000000"/>
          <w:sz w:val="20"/>
        </w:rPr>
        <w:t xml:space="preserve"> Depreciation and amortization for the three months ended March 31, 2026 was $5.6 million which was comparable to $5.3 million for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of $1.9 million in amortization of intangible assets acquired in business combinations from $9.5 million for the three months ended March 31, 2025 to $7.6 million for the three months ended March 31, 2026 was primarily due to certain intangible assets previously acquired becoming fully amortized.</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net.</w:t>
      </w:r>
      <w:r>
        <w:rPr>
          <w:rFonts w:ascii="Times New Roman" w:hAnsi="Times New Roman"/>
          <w:color w:val="000000"/>
          <w:sz w:val="20"/>
        </w:rPr>
        <w:t xml:space="preserve"> The decrease of $0.6 million in interest, net, was primarily due to lower average debt balance of $453.5 million for the three months ended March 31, 2026 compared to $514.3 million for the same period in 2025. Interest from debt facilities was $5.7 million for the three months ended March 31, 2026, compared to $7.3 million for the three months ended March 31, 2025. Use of floating-to-fixed interest rate swap agreements to hedge the variable interest portion of debt facilities resulted in an increase of interest by less than $0.1 million for the three months ended March 31, 2026 compared to a reduction of $0.7 million for the same period in 2025. The average interest rate for our debt facilities was 5.0% for the three months ended March 31, 2026 compared to 5.7% for the same period in 2025. Inclusive of the impact of the swap agreements, our interest rate was 5.1% for the three months ended March 31, 2026 compared to 5.1% for the same period in 2025.</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Other expense. </w:t>
      </w:r>
      <w:r>
        <w:rPr>
          <w:rFonts w:ascii="Times New Roman" w:hAnsi="Times New Roman"/>
          <w:color w:val="000000"/>
          <w:sz w:val="20"/>
        </w:rPr>
        <w:t>The decrease in other expense for the three months ended March 31, 2026 was primarily due to foreign currency expense in 2026 of $0.3 million compared to $1.0 million in 2025, partially offset by losses from disposal of assets of $0.5 million in 2026 associated with early exits from certain leased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b/>
          <w:color w:val="000000"/>
          <w:sz w:val="20"/>
        </w:rPr>
        <w:t>.</w:t>
      </w:r>
      <w:r>
        <w:rPr>
          <w:rFonts w:ascii="Times New Roman" w:hAnsi="Times New Roman"/>
          <w:color w:val="000000"/>
          <w:sz w:val="20"/>
        </w:rPr>
        <w:t xml:space="preserve"> Our effective income tax rate for the three months ended March 31, 2026 and 2025 was 25.1% and 10.5%, respectively. A reconciliation of the Company’s statutory rate to the effective tax rate (the “ETR”) for the three months ended March 31, 2026 and 2025 is as follows:</w:t>
      </w:r>
    </w:p>
    <w:tbl>
      <w:tblPr>
        <w:tblW w:w="5925" w:type="dxa"/>
        <w:jc w:val="left"/>
        <w:tblInd w:w="0" w:type="dxa"/>
        <w:tblLayout w:type="fixed"/>
        <w:tblCellMar>
          <w:top w:w="28" w:type="dxa"/>
          <w:left w:w="28" w:type="dxa"/>
          <w:bottom w:w="28" w:type="dxa"/>
          <w:right w:w="28" w:type="dxa"/>
        </w:tblCellMar>
      </w:tblPr>
      <w:tblGrid>
        <w:gridCol w:w="2761"/>
        <w:gridCol w:w="231"/>
        <w:gridCol w:w="738"/>
        <w:gridCol w:w="524"/>
        <w:gridCol w:w="231"/>
        <w:gridCol w:w="231"/>
        <w:gridCol w:w="833"/>
        <w:gridCol w:w="376"/>
      </w:tblGrid>
      <w:tr>
        <w:trPr/>
        <w:tc>
          <w:tcPr>
            <w:tcW w:w="27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tax rate</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IRC 987 regulations</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Effective tax rate</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provide reconciliations of financial measures that are not calculated in accordance with generally accepted accounting principles in the U.S. (“non-GAAP”) to their most comparable U.S. GAAP measures. While we believe that these non-GAAP financial measures provide additional information to investors and may be useful in evaluating our financial information and assessing ongoing trends to better understand our operations, they should be considered supplemental in nature and not as a substitute for financial information prepared in accordance with U.S. GAAP. Other companies may define similarly titled non-GAAP measures differently, thus limiting their use for comparability.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EBITDA and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Earnings before interest, tax, and depreciation and amortization (“EBITDA”) is a measure we use to evaluate operating performance. Adjusted EBITDA is EBITDA further adjusted to eliminate the impact of certain items that we do not consider to be indicative of the performance of our ongoing operations (“Adjusted EBITDA”). We evaluate these adjustments on an individual basis based on both the quantitative and qualitative aspects of the item, including their size and nature, as well as whether we expect them to recur as part of our normal business on a regular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are not intended to be measures of free cash flow as these measures do not include certain cash requirements such as interest payments, tax payments, capital expenditures, and debt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reconciliation of net income to EBITDA and Adjusted EBITDA for the periods indicated.</w:t>
      </w:r>
    </w:p>
    <w:p>
      <w:pPr>
        <w:pStyle w:val="TextBody"/>
        <w:bidi w:val="0"/>
        <w:jc w:val="left"/>
        <w:rPr/>
      </w:pPr>
      <w:r>
        <w:rPr/>
        <w:t> </w:t>
      </w:r>
    </w:p>
    <w:tbl>
      <w:tblPr>
        <w:tblW w:w="9204" w:type="dxa"/>
        <w:jc w:val="left"/>
        <w:tblInd w:w="0" w:type="dxa"/>
        <w:tblLayout w:type="fixed"/>
        <w:tblCellMar>
          <w:top w:w="28" w:type="dxa"/>
          <w:left w:w="28" w:type="dxa"/>
          <w:bottom w:w="28" w:type="dxa"/>
          <w:right w:w="28" w:type="dxa"/>
        </w:tblCellMar>
      </w:tblPr>
      <w:tblGrid>
        <w:gridCol w:w="6601"/>
        <w:gridCol w:w="146"/>
        <w:gridCol w:w="211"/>
        <w:gridCol w:w="676"/>
        <w:gridCol w:w="146"/>
        <w:gridCol w:w="146"/>
        <w:gridCol w:w="211"/>
        <w:gridCol w:w="676"/>
        <w:gridCol w:w="391"/>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Acquisition and divestiture-related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Severance and other costs related to staff realignment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Charges and adjustments related to facility consolidations and office closures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These are primarily third-party costs related to potential and/or closed acquisitions and integration of closed acquisitions.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These costs are due to involuntary employee termination benefits for (i) our officers and (ii) group of employees who have been notified that they will be terminated as part of a business reorganization or exit.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These charges and adjustments are related to previously exited leased facilities and the closure of certain international offices.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Diluted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diluted earnings per share (“Non-GAAP Diluted EPS”) represents diluted U.S. GAAP earnings per share (“U.S. GAAP Diluted EPS”) excluding the impact of certain items noted above, amortization of acquired intangible assets, and the related income tax effects. While these adjustments may be recurring and not infrequent or unusual, we do not consider these adjustments to be indicative of the performance of our ongoing operations. We believe that the supplemental adjustments provide additional useful information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reconciliation of U.S. GAAP Diluted EPS to Non-GAAP Diluted EPS for the periods indicated.</w:t>
      </w:r>
    </w:p>
    <w:p>
      <w:pPr>
        <w:pStyle w:val="TextBody"/>
        <w:bidi w:val="0"/>
        <w:jc w:val="left"/>
        <w:rPr/>
      </w:pPr>
      <w:r>
        <w:rPr/>
        <w:t> </w:t>
      </w:r>
    </w:p>
    <w:tbl>
      <w:tblPr>
        <w:tblW w:w="8721" w:type="dxa"/>
        <w:jc w:val="left"/>
        <w:tblInd w:w="0" w:type="dxa"/>
        <w:tblLayout w:type="fixed"/>
        <w:tblCellMar>
          <w:top w:w="28" w:type="dxa"/>
          <w:left w:w="28" w:type="dxa"/>
          <w:bottom w:w="28" w:type="dxa"/>
          <w:right w:w="28" w:type="dxa"/>
        </w:tblCellMar>
      </w:tblPr>
      <w:tblGrid>
        <w:gridCol w:w="6391"/>
        <w:gridCol w:w="146"/>
        <w:gridCol w:w="221"/>
        <w:gridCol w:w="552"/>
        <w:gridCol w:w="174"/>
        <w:gridCol w:w="153"/>
        <w:gridCol w:w="221"/>
        <w:gridCol w:w="552"/>
        <w:gridCol w:w="31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divestiture-related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other costs related to staff realignment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Charges and adjustments related to facility consolidations and office 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Amortization of intangible assets acquired in business combinations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tax effects of the adjustments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amortization of intangible assets acquired from business combinations totaled $7.6 million and $9.5 million for the three months ended March 31, 2026 and 2025, respectively.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Income tax effects were calculated using the effective tax rate, adjusted for certain discrete items, if any, of 25.1% and 10.5% for the three months ended March 31, 2026 and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Liquidity and Borrowing Capacity</w:t>
      </w:r>
      <w:r>
        <w:rPr>
          <w:rFonts w:ascii="Times New Roman" w:hAnsi="Times New Roman"/>
          <w:b/>
          <w:color w:val="000000"/>
          <w:sz w:val="20"/>
        </w:rPr>
        <w:t>.</w:t>
      </w:r>
      <w:r>
        <w:rPr>
          <w:rFonts w:ascii="Times New Roman" w:hAnsi="Times New Roman"/>
          <w:color w:val="000000"/>
          <w:sz w:val="20"/>
        </w:rPr>
        <w:t xml:space="preserve"> In addition to cash and cash equivalents on hand and cash generated from operations, our primary source of liquidity is the Credit Facility with a syndicate of commercial banks, as described in “Note 5 – Long-Term Debt” in the “Notes to Consolidated Financial Statements” in this Quarterly Report. The Credit Facility requires that we remain in compliance with certain financial and non-financial covenants (as defined by the Credit Agreement, see “Note 8 - Debt” in the “Notes to Consolidated Financial Statements” in our Annual Report for additional details). As of March 31, 2026, we remained in compliance with these covenants, and we had $512.4 million available under the Credit Facility to fund our ongoing operations, future acquisitions, dividend payments, and share repurchase program. On April 10, 2026, we completed the refinancing of the Credit Facility, see “Note 15 - Subsequent Events” in the “Notes to Consolidated Financial Statements” in this Quarterly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floating-to-fixed interest rate swap agreements for a total notional value of $175.0 million to hedge a portion of our floating-rate Credit Facility. The interest rate swaps will expire in 2030, but we may consider entering into additional swap agreements prior to the expiration of these existing hedges. As of March 31, 2026, the percentage of our fixed-rate debt to total debt from our Credit Facility was 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support services to the U.S. federal government and any prolonged federal government shutdown may affect our abilities to generate cash from that business to certain degrees. There are other conditions, such as the ongoing wars in Ukraine, instabilities in the Middle East, and volatility in global trade (including the imposition of tariffs), that create uncertainty in the global economy, which in turn may impact, among other things, our ability to generate positive cash flows from operations and our ability to successfully execute and fund key initiatives. However, our current belief is that the combination of internally generated funds, available bank borrowing capacity, and cash and cash equivalents on hand will provide the required liquidity and capital resources necessary to fund ongoing operations, customary capital expenditures, quarterly cash dividends, share repurchases, and organic growth. Additionally, we continuously analyze our capital structure to ensure we have capital to fund future strategic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continuously monitor the state of the financial markets to assess the availability of borrowing capacity under the Credit Facility and the cost of additional capital from both debt and equity markets. At present, we believe we will be able to continue to access these markets on commercially reasonable terms and conditions if we need additional capital in the near term.</w:t>
      </w:r>
    </w:p>
    <w:p>
      <w:pPr>
        <w:pStyle w:val="TextBody"/>
        <w:bidi w:val="0"/>
        <w:spacing w:before="12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We have historically paid quarterly cash dividends to our stockholders of record at $0.14 per share. Total dividend payments during the three months ended March 31, 2026 were $2.6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Cash dividends declared thus far in 2026 are as follows:</w:t>
      </w:r>
    </w:p>
    <w:tbl>
      <w:tblPr>
        <w:tblW w:w="7442" w:type="dxa"/>
        <w:jc w:val="left"/>
        <w:tblInd w:w="0" w:type="dxa"/>
        <w:tblLayout w:type="fixed"/>
        <w:tblCellMar>
          <w:top w:w="28" w:type="dxa"/>
          <w:left w:w="28" w:type="dxa"/>
          <w:bottom w:w="28" w:type="dxa"/>
          <w:right w:w="28" w:type="dxa"/>
        </w:tblCellMar>
      </w:tblPr>
      <w:tblGrid>
        <w:gridCol w:w="2371"/>
        <w:gridCol w:w="146"/>
        <w:gridCol w:w="546"/>
        <w:gridCol w:w="1209"/>
        <w:gridCol w:w="146"/>
        <w:gridCol w:w="146"/>
        <w:gridCol w:w="1396"/>
        <w:gridCol w:w="146"/>
        <w:gridCol w:w="133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Dividend 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Dividend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r>
      <w:tr>
        <w:trPr/>
        <w:tc>
          <w:tcPr>
            <w:tcW w:w="23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14, 2026</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Cash Flow.</w:t>
      </w:r>
      <w:r>
        <w:rPr>
          <w:rFonts w:ascii="Times New Roman" w:hAnsi="Times New Roman"/>
          <w:color w:val="000000"/>
          <w:sz w:val="20"/>
        </w:rPr>
        <w:t xml:space="preserve"> The following table sets forth our sources and uses of cash for the three months ended March 31, 2026 and 2025:</w:t>
      </w:r>
    </w:p>
    <w:tbl>
      <w:tblPr>
        <w:tblW w:w="9269" w:type="dxa"/>
        <w:jc w:val="left"/>
        <w:tblInd w:w="0" w:type="dxa"/>
        <w:tblLayout w:type="fixed"/>
        <w:tblCellMar>
          <w:top w:w="28" w:type="dxa"/>
          <w:left w:w="28" w:type="dxa"/>
          <w:bottom w:w="28" w:type="dxa"/>
          <w:right w:w="28" w:type="dxa"/>
        </w:tblCellMar>
      </w:tblPr>
      <w:tblGrid>
        <w:gridCol w:w="6766"/>
        <w:gridCol w:w="146"/>
        <w:gridCol w:w="211"/>
        <w:gridCol w:w="676"/>
        <w:gridCol w:w="166"/>
        <w:gridCol w:w="146"/>
        <w:gridCol w:w="211"/>
        <w:gridCol w:w="736"/>
        <w:gridCol w:w="211"/>
      </w:tblGrid>
      <w:tr>
        <w:trPr/>
        <w:tc>
          <w:tcPr>
            <w:tcW w:w="6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operations decreased by $29.9 million, primarily due to higher cash collections from customers and timing of payment of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decreased by $0.6 million as a result of lower capital expenditures in the first quarter of 2026 compared to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decreased by $25.9 primarily due to lower net borrowings from our Credit Facility and short-term borrowings, partially offset by reduced share repurchases.</w:t>
      </w:r>
    </w:p>
    <w:p>
      <w:pPr>
        <w:pStyle w:val="TextBody"/>
        <w:bidi w:val="0"/>
        <w:spacing w:before="240" w:after="283"/>
        <w:jc w:val="left"/>
        <w:rPr>
          <w:rFonts w:ascii="Times New Roman" w:hAnsi="Times New Roman"/>
          <w:b/>
          <w:i/>
          <w:color w:val="000000"/>
          <w:sz w:val="20"/>
        </w:rPr>
      </w:pPr>
      <w:bookmarkStart w:id="25" w:name="item_3___quantitative_qualitative_disclo"/>
      <w:bookmarkEnd w:id="25"/>
      <w:r>
        <w:rPr>
          <w:rFonts w:ascii="Times New Roman" w:hAnsi="Times New Roman"/>
          <w:b/>
          <w:i/>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disclosures discussed in the section entitled “Quantitative and Qualitative Disclosures About Market Risk” in Part II, Item 7A of our Annual Report.</w:t>
      </w:r>
    </w:p>
    <w:p>
      <w:pPr>
        <w:pStyle w:val="TextBody"/>
        <w:bidi w:val="0"/>
        <w:spacing w:before="240" w:after="283"/>
        <w:jc w:val="left"/>
        <w:rPr>
          <w:rFonts w:ascii="Times New Roman" w:hAnsi="Times New Roman"/>
          <w:b/>
          <w:i/>
          <w:color w:val="000000"/>
          <w:sz w:val="20"/>
        </w:rPr>
      </w:pPr>
      <w:bookmarkStart w:id="26" w:name="item_4___controls_procedures"/>
      <w:bookmarkEnd w:id="26"/>
      <w:r>
        <w:rPr>
          <w:rFonts w:ascii="Times New Roman" w:hAnsi="Times New Roman"/>
          <w:b/>
          <w:i/>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Disclosure Controls and Procedures and Internal Controls Over Financial Reporting</w:t>
      </w:r>
      <w:r>
        <w:rPr>
          <w:rFonts w:ascii="Times New Roman" w:hAnsi="Times New Roman"/>
          <w:b/>
          <w:color w:val="000000"/>
          <w:sz w:val="20"/>
        </w:rPr>
        <w:t>.</w:t>
      </w:r>
      <w:r>
        <w:rPr>
          <w:rFonts w:ascii="Times New Roman" w:hAnsi="Times New Roman"/>
          <w:color w:val="000000"/>
          <w:sz w:val="20"/>
        </w:rPr>
        <w:t xml:space="preserve"> Management, with the participation of our Chief Executive Officer and our Chief Financial Officer, have evaluated the effectiveness of the Company’s disclosure controls and procedures (as defined in Rules 13a-15(e) and 15d-15(e) of the Exchange Act of 1934, as amended) and have concluded that as of March 31, 2026, our disclosure controls and procedures were effective. There have been no significant changes in our internal controls over financial reporting during the quarterly period covered by this report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_or_information"/>
      <w:bookmarkEnd w:id="27"/>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28" w:name="item_1___legal_proceedings_"/>
      <w:bookmarkEnd w:id="28"/>
      <w:r>
        <w:rPr>
          <w:rFonts w:ascii="Times New Roman" w:hAnsi="Times New Roman"/>
          <w:b/>
          <w:i/>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involved in various legal matters and proceedings arising in the ordinary course of business. While these matters and proceedings cause us to incur costs, including, but not limited to, attorneys’ fees, we currently believe that any ultimate liability arising out of these matters and proceedings will not have a material adverse effect on our financial position, results of operations, or cash flows. </w:t>
      </w:r>
    </w:p>
    <w:p>
      <w:pPr>
        <w:pStyle w:val="TextBody"/>
        <w:bidi w:val="0"/>
        <w:spacing w:before="240" w:after="283"/>
        <w:jc w:val="left"/>
        <w:rPr>
          <w:rFonts w:ascii="Times New Roman" w:hAnsi="Times New Roman"/>
          <w:sz w:val="20"/>
        </w:rPr>
      </w:pPr>
      <w:bookmarkStart w:id="29" w:name="item_1a_risk_factors_"/>
      <w:bookmarkEnd w:id="29"/>
      <w:r>
        <w:rPr>
          <w:rFonts w:ascii="Times New Roman" w:hAnsi="Times New Roman"/>
          <w:b/>
          <w:i/>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risk factors discussed in the section entitled “Risk Factors” disclosed in Part I, Item 1A of our Annual Report.</w:t>
      </w:r>
    </w:p>
    <w:p>
      <w:pPr>
        <w:pStyle w:val="TextBody"/>
        <w:bidi w:val="0"/>
        <w:spacing w:before="240" w:after="283"/>
        <w:jc w:val="left"/>
        <w:rPr>
          <w:rFonts w:ascii="Times New Roman" w:hAnsi="Times New Roman"/>
          <w:sz w:val="20"/>
        </w:rPr>
      </w:pPr>
      <w:bookmarkStart w:id="30" w:name="item_2___unregistered_sales_equity_secur"/>
      <w:bookmarkEnd w:id="30"/>
      <w:r>
        <w:rPr>
          <w:rFonts w:ascii="Times New Roman" w:hAnsi="Times New Roman"/>
          <w:b/>
          <w:i/>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One of the objectives of our share repurchase program has been to offset dilution resulting from our employee incentive plan. The timing and extent to which we repurchase our shares will depend upon the approval by our board of directors, market conditions, and other corporate considerations, as may be considered in our sole discretion. Repurchases are funded from our existing cash balances and/or borrowings, and repurchased shares are held as treasury stock.</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we repurchased 217,513 shares under our share repurchase program at an aggregate price of $15.0 million. As of March 31, 2026, $78.9 million of repurchase authority remained available for future approved share repurchases.</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Repurchases of Equity Securities. </w:t>
      </w:r>
      <w:r>
        <w:rPr>
          <w:rFonts w:ascii="Times New Roman" w:hAnsi="Times New Roman"/>
          <w:color w:val="000000"/>
          <w:sz w:val="20"/>
        </w:rPr>
        <w:t>The following table summarizes the share repurchase activity for the three months ended March 31, 2026 for our share repurchase program and shares purchased in satisfaction of employee tax withholding obligations related to the settlement of restricted stock units.</w:t>
      </w:r>
    </w:p>
    <w:tbl>
      <w:tblPr>
        <w:tblW w:w="8754" w:type="dxa"/>
        <w:jc w:val="left"/>
        <w:tblInd w:w="0" w:type="dxa"/>
        <w:tblLayout w:type="fixed"/>
        <w:tblCellMar>
          <w:top w:w="28" w:type="dxa"/>
          <w:left w:w="28" w:type="dxa"/>
          <w:bottom w:w="28" w:type="dxa"/>
          <w:right w:w="28" w:type="dxa"/>
        </w:tblCellMar>
      </w:tblPr>
      <w:tblGrid>
        <w:gridCol w:w="1921"/>
        <w:gridCol w:w="146"/>
        <w:gridCol w:w="208"/>
        <w:gridCol w:w="992"/>
        <w:gridCol w:w="146"/>
        <w:gridCol w:w="146"/>
        <w:gridCol w:w="320"/>
        <w:gridCol w:w="835"/>
        <w:gridCol w:w="146"/>
        <w:gridCol w:w="146"/>
        <w:gridCol w:w="295"/>
        <w:gridCol w:w="1400"/>
        <w:gridCol w:w="146"/>
        <w:gridCol w:w="146"/>
        <w:gridCol w:w="258"/>
        <w:gridCol w:w="1212"/>
        <w:gridCol w:w="2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Total Number</w:t>
              <w:br/>
              <w:t>of Shares</w:t>
              <w:br/>
              <w:t>Purchased</w:t>
            </w:r>
            <w:r>
              <w:rPr>
                <w:rFonts w:ascii="Times New Roman" w:hAnsi="Times New Roman"/>
                <w:color w:val="000000"/>
                <w:sz w:val="18"/>
              </w:rPr>
              <w:t>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 as</w:t>
              <w:br/>
              <w:t>Part of Publicly</w:t>
              <w:br/>
              <w:t>Announced 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Approximate</w:t>
              <w:br/>
              <w:t>Dollar Value of</w:t>
              <w:br/>
              <w:t>Shares that May</w:t>
              <w:br/>
              <w:t>Yet Be Purchased</w:t>
              <w:br/>
              <w:t>Under the Plans</w:t>
              <w:br/>
              <w:t xml:space="preserve">or Programs </w:t>
            </w:r>
            <w:r>
              <w:rPr>
                <w:rFonts w:ascii="Times New Roman" w:hAnsi="Times New Roman"/>
                <w:b/>
                <w:color w:val="000000"/>
                <w:sz w:val="12"/>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January 1 - January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93,965,514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1 - February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93,965,514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1 - 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78,919,258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total number of shares purchased includes shares purchased from employees to pay required withholding taxes related to the settlement of restricted stock units in accordance with our applicable long-term incentive plan. During the three months ended March 31, 2026, we repurchased 47,669 shares of common stock from employees in satisfaction of tax withholding obligations at an average price of $74.04 per share.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current share repurchase program authorizes share repurchases in the aggregate up to $300.0 million. Our Credit Facility permits annual share repurchases of at least $25.0 million; provided, that the Company is not in default of its covenants, and higher amounts provided that our Consolidated Leverage Ratio prior to and after giving effect to such repurchases is 0.50 to 1.00 less than the then-applicable maximum Consolidated Leverage Ratio and subject to a net liquidity of $100.00 million.</w:t>
      </w:r>
    </w:p>
    <w:p>
      <w:pPr>
        <w:pStyle w:val="TextBody"/>
        <w:bidi w:val="0"/>
        <w:jc w:val="left"/>
        <w:rPr/>
      </w:pPr>
      <w:r>
        <w:rPr/>
        <w:t> </w:t>
      </w:r>
    </w:p>
    <w:p>
      <w:pPr>
        <w:pStyle w:val="TextBody"/>
        <w:bidi w:val="0"/>
        <w:spacing w:before="240" w:after="283"/>
        <w:jc w:val="left"/>
        <w:rPr>
          <w:rFonts w:ascii="Times New Roman" w:hAnsi="Times New Roman"/>
          <w:sz w:val="20"/>
        </w:rPr>
      </w:pPr>
      <w:bookmarkStart w:id="31" w:name="item_3___defaults_upon_senior_securities"/>
      <w:bookmarkEnd w:id="31"/>
      <w:r>
        <w:rPr>
          <w:rFonts w:ascii="Times New Roman" w:hAnsi="Times New Roman"/>
          <w:b/>
          <w:i/>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32" w:name="item_4___mine_safety_disclosures_"/>
      <w:bookmarkEnd w:id="32"/>
      <w:r>
        <w:rPr>
          <w:rFonts w:ascii="Times New Roman" w:hAnsi="Times New Roman"/>
          <w:b/>
          <w:i/>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33" w:name="item_5___or_information_"/>
      <w:bookmarkEnd w:id="33"/>
      <w:r>
        <w:rPr>
          <w:rFonts w:ascii="Times New Roman" w:hAnsi="Times New Roman"/>
          <w:b/>
          <w:i/>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7, 2026, John Wasson, our Chair and Chief Executive Officer, (and his spouse) adopted a Rule 10b5-1 trading arrangement intended to satisfy the affirmative defense conditions under Rule 10b5-1(c) of the Securities Exchange Act of 1934, as amended. The trading arrangement provides for the sale of up to 37,133 shares held in trusts associated with Mr. Wasson and terminates on the earlier of the date all shares covered by the trading arrangement have been sold and July 8, 2028.</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4" w:name="item_6_exhibits_"/>
      <w:bookmarkEnd w:id="34"/>
      <w:r>
        <w:rPr>
          <w:rFonts w:ascii="Times New Roman" w:hAnsi="Times New Roman"/>
          <w:b/>
          <w:i/>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7"/>
        <w:gridCol w:w="146"/>
        <w:gridCol w:w="9342"/>
      </w:tblGrid>
      <w:tr>
        <w:trPr/>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2" w:type="dxa"/>
            <w:tcBorders/>
            <w:vAlign w:val="center"/>
          </w:tcPr>
          <w:p>
            <w:pPr>
              <w:pStyle w:val="TableContents"/>
              <w:bidi w:val="0"/>
              <w:spacing w:before="0" w:after="283"/>
              <w:jc w:val="left"/>
              <w:rPr>
                <w:sz w:val="4"/>
                <w:szCs w:val="4"/>
              </w:rPr>
            </w:pPr>
            <w:r>
              <w:rPr>
                <w:sz w:val="4"/>
                <w:szCs w:val="4"/>
              </w:rPr>
            </w:r>
          </w:p>
        </w:tc>
      </w:tr>
      <w:tr>
        <w:trPr/>
        <w:tc>
          <w:tcPr>
            <w:tcW w:w="717"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Credit Agreement, dated April 10, 2026 (Incorporated by reference to Exhibit 10.1 to the Company’s Form 8-K, filed April 15, 2026).</w:t>
              </w:r>
            </w:hyperlink>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tcBorders/>
            <w:tcMar>
              <w:top w:w="0" w:type="dxa"/>
              <w:left w:w="0" w:type="dxa"/>
              <w:bottom w:w="0" w:type="dxa"/>
              <w:right w:w="0" w:type="dxa"/>
            </w:tcMar>
            <w:vAlign w:val="center"/>
          </w:tcPr>
          <w:p>
            <w:pPr>
              <w:pStyle w:val="TableContents"/>
              <w:bidi w:val="0"/>
              <w:spacing w:before="0" w:after="283"/>
              <w:jc w:val="left"/>
              <w:rPr/>
            </w:pPr>
            <w:hyperlink w:anchor="icfi-ex31_1.htm">
              <w:r>
                <w:rPr>
                  <w:rStyle w:val="InternetLink"/>
                  <w:rFonts w:ascii="Times New Roman" w:hAnsi="Times New Roman"/>
                  <w:color w:val="0000FF"/>
                  <w:sz w:val="20"/>
                  <w:u w:val="single"/>
                </w:rPr>
                <w:t>Certificate of the Principal Executive Officer Pursuant to Exchange Act Rule 13a-14(a) and 15d-14(a). *</w:t>
              </w:r>
            </w:hyperlink>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tcBorders/>
            <w:tcMar>
              <w:top w:w="0" w:type="dxa"/>
              <w:left w:w="0" w:type="dxa"/>
              <w:bottom w:w="0" w:type="dxa"/>
              <w:right w:w="0" w:type="dxa"/>
            </w:tcMar>
            <w:vAlign w:val="center"/>
          </w:tcPr>
          <w:p>
            <w:pPr>
              <w:pStyle w:val="TableContents"/>
              <w:bidi w:val="0"/>
              <w:spacing w:before="0" w:after="283"/>
              <w:jc w:val="left"/>
              <w:rPr/>
            </w:pPr>
            <w:hyperlink w:anchor="icfi-ex31_2.htm">
              <w:r>
                <w:rPr>
                  <w:rStyle w:val="InternetLink"/>
                  <w:rFonts w:ascii="Times New Roman" w:hAnsi="Times New Roman"/>
                  <w:color w:val="0000FF"/>
                  <w:sz w:val="20"/>
                  <w:u w:val="single"/>
                </w:rPr>
                <w:t>Certificate of the Principal Financial Officer Pursuant to Exchange Act Rule 13a-14(a) and 15d-14(a). *</w:t>
              </w:r>
            </w:hyperlink>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tcBorders/>
            <w:tcMar>
              <w:top w:w="0" w:type="dxa"/>
              <w:left w:w="0" w:type="dxa"/>
              <w:bottom w:w="0" w:type="dxa"/>
              <w:right w:w="0" w:type="dxa"/>
            </w:tcMar>
            <w:vAlign w:val="center"/>
          </w:tcPr>
          <w:p>
            <w:pPr>
              <w:pStyle w:val="TableContents"/>
              <w:bidi w:val="0"/>
              <w:spacing w:before="0" w:after="283"/>
              <w:jc w:val="left"/>
              <w:rPr/>
            </w:pPr>
            <w:hyperlink w:anchor="icfi-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 *</w:t>
              </w:r>
            </w:hyperlink>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tcBorders/>
            <w:tcMar>
              <w:top w:w="0" w:type="dxa"/>
              <w:left w:w="0" w:type="dxa"/>
              <w:bottom w:w="0" w:type="dxa"/>
              <w:right w:w="0" w:type="dxa"/>
            </w:tcMar>
            <w:vAlign w:val="center"/>
          </w:tcPr>
          <w:p>
            <w:pPr>
              <w:pStyle w:val="TableContents"/>
              <w:bidi w:val="0"/>
              <w:spacing w:before="0" w:after="283"/>
              <w:jc w:val="left"/>
              <w:rPr/>
            </w:pPr>
            <w:hyperlink w:anchor="icfi-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 *</w:t>
              </w:r>
            </w:hyperlink>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following materials from the ICF International, Inc. Quarterly Report on Form 10-Q for the quarter ended March 31, 2026 formatted in Inline eXtensible Business Reporting Language (iXBRL): (i) Consolidated Balance Sheets, (ii) Consolidated Statements of Comprehensive Income, (iii) Consolidated Statements of Cash Flows and (iv) Notes to Consolidated Financial Statements.* </w:t>
            </w:r>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Submitted electronically herewith.</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919" w:type="dxa"/>
        <w:jc w:val="left"/>
        <w:tblInd w:w="0" w:type="dxa"/>
        <w:tblLayout w:type="fixed"/>
        <w:tblCellMar>
          <w:top w:w="28" w:type="dxa"/>
          <w:left w:w="28" w:type="dxa"/>
          <w:bottom w:w="28" w:type="dxa"/>
          <w:right w:w="28" w:type="dxa"/>
        </w:tblCellMar>
      </w:tblPr>
      <w:tblGrid>
        <w:gridCol w:w="1156"/>
        <w:gridCol w:w="406"/>
        <w:gridCol w:w="146"/>
        <w:gridCol w:w="3211"/>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ICF INTERNATIONAL, INC.</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Wasson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Wasson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and Chief Executive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Morgan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and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icfi-ex31_1.htm"/>
      <w:bookmarkStart w:id="36" w:name="ksicfiex31_1"/>
      <w:bookmarkEnd w:id="35"/>
      <w:bookmarkEnd w:id="3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Wasson, Chair and Chief Executive Officer of the registrant,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ICF International,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176" w:type="dxa"/>
        <w:jc w:val="left"/>
        <w:tblInd w:w="0" w:type="dxa"/>
        <w:tblLayout w:type="fixed"/>
        <w:tblCellMar>
          <w:top w:w="28" w:type="dxa"/>
          <w:left w:w="28" w:type="dxa"/>
          <w:bottom w:w="28" w:type="dxa"/>
          <w:right w:w="28" w:type="dxa"/>
        </w:tblCellMar>
      </w:tblPr>
      <w:tblGrid>
        <w:gridCol w:w="1156"/>
        <w:gridCol w:w="109"/>
        <w:gridCol w:w="2911"/>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John Wasson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Wasson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and Chief Executive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icfi-ex31_2.htm"/>
      <w:bookmarkStart w:id="38" w:name="ksicfiex31_2"/>
      <w:bookmarkEnd w:id="37"/>
      <w:bookmarkEnd w:id="3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Morgan, Chief Operating and Financial Officer of the registrant,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ICF International,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476" w:type="dxa"/>
        <w:jc w:val="left"/>
        <w:tblInd w:w="0" w:type="dxa"/>
        <w:tblLayout w:type="fixed"/>
        <w:tblCellMar>
          <w:top w:w="28" w:type="dxa"/>
          <w:left w:w="28" w:type="dxa"/>
          <w:bottom w:w="28" w:type="dxa"/>
          <w:right w:w="28" w:type="dxa"/>
        </w:tblCellMar>
      </w:tblPr>
      <w:tblGrid>
        <w:gridCol w:w="1156"/>
        <w:gridCol w:w="109"/>
        <w:gridCol w:w="3211"/>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Morgan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and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icfi-ex32_1.htm"/>
      <w:bookmarkStart w:id="40" w:name="ksicfiex32_1"/>
      <w:bookmarkEnd w:id="39"/>
      <w:bookmarkEnd w:id="4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 (18 U.S.C.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March 31, 2026 (the “Report”) of ICF International, Inc. (the “Registrant”), as filed with the Securities and Exchange Commission on the date hereof, I, John Wasson, Chair and Chief Executive Officer of the Registrant, hereby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4213" w:type="dxa"/>
        <w:jc w:val="left"/>
        <w:tblInd w:w="0" w:type="dxa"/>
        <w:tblLayout w:type="fixed"/>
        <w:tblCellMar>
          <w:top w:w="28" w:type="dxa"/>
          <w:left w:w="28" w:type="dxa"/>
          <w:bottom w:w="28" w:type="dxa"/>
          <w:right w:w="28" w:type="dxa"/>
        </w:tblCellMar>
      </w:tblPr>
      <w:tblGrid>
        <w:gridCol w:w="1156"/>
        <w:gridCol w:w="146"/>
        <w:gridCol w:w="291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Wasson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Wasson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and Chief Executive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icfi-ex32_2.htm"/>
      <w:bookmarkStart w:id="42" w:name="ksicfiex32_2"/>
      <w:bookmarkEnd w:id="41"/>
      <w:bookmarkEnd w:id="4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 (18 U.S.C.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March 31, 2026 (the “Report”) of ICF International, Inc. (the “Registrant”), as filed with the Securities and Exchange Commission on the date hereof, I, James Morgan, Chief Operating and Financial Officer of the Registrant, hereby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4513" w:type="dxa"/>
        <w:jc w:val="left"/>
        <w:tblInd w:w="0" w:type="dxa"/>
        <w:tblLayout w:type="fixed"/>
        <w:tblCellMar>
          <w:top w:w="28" w:type="dxa"/>
          <w:left w:w="28" w:type="dxa"/>
          <w:bottom w:w="28" w:type="dxa"/>
          <w:right w:w="28" w:type="dxa"/>
        </w:tblCellMar>
      </w:tblPr>
      <w:tblGrid>
        <w:gridCol w:w="1156"/>
        <w:gridCol w:w="146"/>
        <w:gridCol w:w="321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Morgan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and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2004/000143774926012565/ex_945516.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11396</Words>
  <Characters>63017</Characters>
  <CharactersWithSpaces>75349</CharactersWithSpaces>
  <Paragraphs>4767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