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4640" w:right="3460" w:hanging="4632"/>
        <w:spacing w:after="0" w:line="278" w:lineRule="auto"/>
        <w:tabs>
          <w:tab w:leader="none" w:pos="74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ind w:left="680" w:hanging="672"/>
        <w:spacing w:after="0" w:line="190" w:lineRule="auto"/>
        <w:tabs>
          <w:tab w:leader="none" w:pos="68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0" w:lineRule="exact"/>
        <w:rPr>
          <w:sz w:val="24"/>
          <w:szCs w:val="24"/>
          <w:color w:val="auto"/>
        </w:rPr>
      </w:pPr>
    </w:p>
    <w:p>
      <w:pPr>
        <w:ind w:left="468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98" w:lineRule="exact"/>
        <w:rPr>
          <w:sz w:val="24"/>
          <w:szCs w:val="24"/>
          <w:color w:val="auto"/>
        </w:rPr>
      </w:pPr>
    </w:p>
    <w:tbl>
      <w:tblPr>
        <w:tblLayout w:type="fixed"/>
        <w:tblInd w:w="1640" w:type="dxa"/>
        <w:tblCellMar>
          <w:top w:w="0" w:type="dxa"/>
          <w:left w:w="0" w:type="dxa"/>
          <w:bottom w:w="0" w:type="dxa"/>
          <w:right w:w="0" w:type="dxa"/>
        </w:tblCellMar>
      </w:tblPr>
      <w:tr>
        <w:trPr>
          <w:trHeight w:val="226"/>
        </w:trPr>
        <w:tc>
          <w:tcPr>
            <w:tcW w:w="5960" w:type="dxa"/>
            <w:vAlign w:val="bottom"/>
            <w:gridSpan w:val="3"/>
          </w:tcPr>
          <w:p>
            <w:pPr>
              <w:jc w:val="center"/>
              <w:ind w:left="1877"/>
              <w:spacing w:after="0"/>
              <w:rPr>
                <w:sz w:val="20"/>
                <w:szCs w:val="20"/>
                <w:color w:val="auto"/>
              </w:rPr>
            </w:pPr>
            <w:r>
              <w:rPr>
                <w:rFonts w:ascii="Times New Roman" w:cs="Times New Roman" w:eastAsia="Times New Roman" w:hAnsi="Times New Roman"/>
                <w:sz w:val="17"/>
                <w:szCs w:val="17"/>
                <w:b w:val="1"/>
                <w:bCs w:val="1"/>
                <w:color w:val="auto"/>
              </w:rPr>
              <w:t>Commission File Number: 001-33045</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860" w:type="dxa"/>
            <w:vAlign w:val="bottom"/>
            <w:vMerge w:val="restart"/>
          </w:tcPr>
          <w:p>
            <w:pPr>
              <w:ind w:left="2180"/>
              <w:spacing w:after="0"/>
              <w:rPr>
                <w:sz w:val="20"/>
                <w:szCs w:val="20"/>
                <w:color w:val="auto"/>
              </w:rPr>
            </w:pPr>
            <w:r>
              <w:rPr>
                <w:rFonts w:ascii="Times New Roman" w:cs="Times New Roman" w:eastAsia="Times New Roman" w:hAnsi="Times New Roman"/>
                <w:sz w:val="27"/>
                <w:szCs w:val="27"/>
                <w:b w:val="1"/>
                <w:bCs w:val="1"/>
                <w:color w:val="auto"/>
              </w:rPr>
              <w:t>ICF</w:t>
            </w:r>
          </w:p>
        </w:tc>
        <w:tc>
          <w:tcPr>
            <w:tcW w:w="2240" w:type="dxa"/>
            <w:vAlign w:val="bottom"/>
            <w:tcBorders>
              <w:bottom w:val="single" w:sz="8" w:color="auto"/>
            </w:tcBorders>
          </w:tcPr>
          <w:p>
            <w:pPr>
              <w:spacing w:after="0"/>
              <w:rPr>
                <w:sz w:val="8"/>
                <w:szCs w:val="8"/>
                <w:color w:val="auto"/>
              </w:rPr>
            </w:pP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27"/>
                <w:szCs w:val="27"/>
                <w:b w:val="1"/>
                <w:bCs w:val="1"/>
                <w:color w:val="auto"/>
              </w:rPr>
              <w:t>INC.</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2860" w:type="dxa"/>
            <w:vAlign w:val="bottom"/>
            <w:vMerge w:val="continue"/>
          </w:tcPr>
          <w:p>
            <w:pPr>
              <w:spacing w:after="0"/>
              <w:rPr>
                <w:sz w:val="24"/>
                <w:szCs w:val="24"/>
                <w:color w:val="auto"/>
              </w:rPr>
            </w:pPr>
          </w:p>
        </w:tc>
        <w:tc>
          <w:tcPr>
            <w:tcW w:w="2240" w:type="dxa"/>
            <w:vAlign w:val="bottom"/>
          </w:tcPr>
          <w:p>
            <w:pPr>
              <w:jc w:val="center"/>
              <w:spacing w:after="0" w:line="288" w:lineRule="exact"/>
              <w:rPr>
                <w:sz w:val="20"/>
                <w:szCs w:val="20"/>
                <w:color w:val="auto"/>
              </w:rPr>
            </w:pPr>
            <w:r>
              <w:rPr>
                <w:rFonts w:ascii="Times New Roman" w:cs="Times New Roman" w:eastAsia="Times New Roman" w:hAnsi="Times New Roman"/>
                <w:sz w:val="27"/>
                <w:szCs w:val="27"/>
                <w:b w:val="1"/>
                <w:bCs w:val="1"/>
                <w:color w:val="auto"/>
                <w:w w:val="94"/>
              </w:rPr>
              <w:t>INTERNATIONAL,</w:t>
            </w:r>
          </w:p>
        </w:tc>
        <w:tc>
          <w:tcPr>
            <w:tcW w:w="8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960" w:type="dxa"/>
            <w:vAlign w:val="bottom"/>
            <w:gridSpan w:val="3"/>
          </w:tcPr>
          <w:p>
            <w:pPr>
              <w:jc w:val="center"/>
              <w:ind w:left="1897"/>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86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5960" w:type="dxa"/>
            <w:vAlign w:val="bottom"/>
            <w:gridSpan w:val="3"/>
          </w:tcPr>
          <w:p>
            <w:pPr>
              <w:jc w:val="center"/>
              <w:ind w:right="358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560" w:type="dxa"/>
            <w:vAlign w:val="bottom"/>
          </w:tcPr>
          <w:p>
            <w:pPr>
              <w:jc w:val="right"/>
              <w:ind w:right="185"/>
              <w:spacing w:after="0"/>
              <w:rPr>
                <w:sz w:val="20"/>
                <w:szCs w:val="20"/>
                <w:color w:val="auto"/>
              </w:rPr>
            </w:pPr>
            <w:r>
              <w:rPr>
                <w:rFonts w:ascii="Times New Roman" w:cs="Times New Roman" w:eastAsia="Times New Roman" w:hAnsi="Times New Roman"/>
                <w:sz w:val="17"/>
                <w:szCs w:val="17"/>
                <w:b w:val="1"/>
                <w:bCs w:val="1"/>
                <w:color w:val="auto"/>
              </w:rPr>
              <w:t>22-3661438</w:t>
            </w:r>
          </w:p>
        </w:tc>
        <w:tc>
          <w:tcPr>
            <w:tcW w:w="0" w:type="dxa"/>
            <w:vAlign w:val="bottom"/>
          </w:tcPr>
          <w:p>
            <w:pPr>
              <w:spacing w:after="0"/>
              <w:rPr>
                <w:sz w:val="1"/>
                <w:szCs w:val="1"/>
                <w:color w:val="auto"/>
              </w:rPr>
            </w:pPr>
          </w:p>
        </w:tc>
      </w:tr>
      <w:tr>
        <w:trPr>
          <w:trHeight w:val="148"/>
        </w:trPr>
        <w:tc>
          <w:tcPr>
            <w:tcW w:w="5960" w:type="dxa"/>
            <w:vAlign w:val="bottom"/>
            <w:gridSpan w:val="3"/>
          </w:tcPr>
          <w:p>
            <w:pPr>
              <w:jc w:val="center"/>
              <w:ind w:right="3585"/>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560" w:type="dxa"/>
            <w:vAlign w:val="bottom"/>
          </w:tcPr>
          <w:p>
            <w:pPr>
              <w:jc w:val="center"/>
              <w:ind w:left="145"/>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5960" w:type="dxa"/>
            <w:vAlign w:val="bottom"/>
            <w:gridSpan w:val="3"/>
          </w:tcPr>
          <w:p>
            <w:pPr>
              <w:jc w:val="center"/>
              <w:ind w:right="3585"/>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560" w:type="dxa"/>
            <w:vAlign w:val="bottom"/>
          </w:tcPr>
          <w:p>
            <w:pPr>
              <w:jc w:val="center"/>
              <w:ind w:left="145"/>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c>
          <w:tcPr>
            <w:tcW w:w="0" w:type="dxa"/>
            <w:vAlign w:val="bottom"/>
          </w:tcPr>
          <w:p>
            <w:pPr>
              <w:spacing w:after="0"/>
              <w:rPr>
                <w:sz w:val="1"/>
                <w:szCs w:val="1"/>
                <w:color w:val="auto"/>
              </w:rPr>
            </w:pPr>
          </w:p>
        </w:tc>
      </w:tr>
      <w:tr>
        <w:trPr>
          <w:trHeight w:val="245"/>
        </w:trPr>
        <w:tc>
          <w:tcPr>
            <w:tcW w:w="5960" w:type="dxa"/>
            <w:vAlign w:val="bottom"/>
            <w:gridSpan w:val="3"/>
          </w:tcPr>
          <w:p>
            <w:pPr>
              <w:jc w:val="center"/>
              <w:ind w:right="3585"/>
              <w:spacing w:after="0"/>
              <w:rPr>
                <w:sz w:val="20"/>
                <w:szCs w:val="20"/>
                <w:color w:val="auto"/>
              </w:rPr>
            </w:pPr>
            <w:r>
              <w:rPr>
                <w:rFonts w:ascii="Times New Roman" w:cs="Times New Roman" w:eastAsia="Times New Roman" w:hAnsi="Times New Roman"/>
                <w:sz w:val="17"/>
                <w:szCs w:val="17"/>
                <w:b w:val="1"/>
                <w:bCs w:val="1"/>
                <w:color w:val="auto"/>
              </w:rPr>
              <w:t>1902 Reston Metro Plaza</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960" w:type="dxa"/>
            <w:vAlign w:val="bottom"/>
            <w:gridSpan w:val="3"/>
          </w:tcPr>
          <w:p>
            <w:pPr>
              <w:jc w:val="center"/>
              <w:ind w:right="3585"/>
              <w:spacing w:after="0"/>
              <w:rPr>
                <w:sz w:val="20"/>
                <w:szCs w:val="20"/>
                <w:color w:val="auto"/>
              </w:rPr>
            </w:pPr>
            <w:r>
              <w:rPr>
                <w:rFonts w:ascii="Times New Roman" w:cs="Times New Roman" w:eastAsia="Times New Roman" w:hAnsi="Times New Roman"/>
                <w:sz w:val="17"/>
                <w:szCs w:val="17"/>
                <w:b w:val="1"/>
                <w:bCs w:val="1"/>
                <w:color w:val="auto"/>
              </w:rPr>
              <w:t>Reston, VA</w:t>
            </w:r>
          </w:p>
        </w:tc>
        <w:tc>
          <w:tcPr>
            <w:tcW w:w="1560" w:type="dxa"/>
            <w:vAlign w:val="bottom"/>
          </w:tcPr>
          <w:p>
            <w:pPr>
              <w:jc w:val="right"/>
              <w:ind w:right="385"/>
              <w:spacing w:after="0"/>
              <w:rPr>
                <w:sz w:val="20"/>
                <w:szCs w:val="20"/>
                <w:color w:val="auto"/>
              </w:rPr>
            </w:pPr>
            <w:r>
              <w:rPr>
                <w:rFonts w:ascii="Times New Roman" w:cs="Times New Roman" w:eastAsia="Times New Roman" w:hAnsi="Times New Roman"/>
                <w:sz w:val="17"/>
                <w:szCs w:val="17"/>
                <w:b w:val="1"/>
                <w:bCs w:val="1"/>
                <w:color w:val="auto"/>
              </w:rPr>
              <w:t>20190</w:t>
            </w:r>
          </w:p>
        </w:tc>
        <w:tc>
          <w:tcPr>
            <w:tcW w:w="0" w:type="dxa"/>
            <w:vAlign w:val="bottom"/>
          </w:tcPr>
          <w:p>
            <w:pPr>
              <w:spacing w:after="0"/>
              <w:rPr>
                <w:sz w:val="1"/>
                <w:szCs w:val="1"/>
                <w:color w:val="auto"/>
              </w:rPr>
            </w:pPr>
          </w:p>
        </w:tc>
      </w:tr>
      <w:tr>
        <w:trPr>
          <w:trHeight w:val="178"/>
        </w:trPr>
        <w:tc>
          <w:tcPr>
            <w:tcW w:w="5960" w:type="dxa"/>
            <w:vAlign w:val="bottom"/>
            <w:gridSpan w:val="3"/>
          </w:tcPr>
          <w:p>
            <w:pPr>
              <w:jc w:val="center"/>
              <w:ind w:right="3585"/>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560" w:type="dxa"/>
            <w:vAlign w:val="bottom"/>
          </w:tcPr>
          <w:p>
            <w:pPr>
              <w:jc w:val="center"/>
              <w:ind w:left="145"/>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(703) 934-3000</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5"/>
                <w:szCs w:val="15"/>
                <w:color w:val="auto"/>
              </w:rPr>
            </w:pPr>
          </w:p>
        </w:tc>
        <w:tc>
          <w:tcPr>
            <w:tcW w:w="288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Trading Symbols(s)</w:t>
            </w:r>
          </w:p>
        </w:tc>
        <w:tc>
          <w:tcPr>
            <w:tcW w:w="3820" w:type="dxa"/>
            <w:vAlign w:val="bottom"/>
            <w:gridSpan w:val="2"/>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180" w:type="dxa"/>
            <w:vAlign w:val="bottom"/>
          </w:tcPr>
          <w:p>
            <w:pPr>
              <w:spacing w:after="0"/>
              <w:rPr>
                <w:sz w:val="14"/>
                <w:szCs w:val="14"/>
                <w:color w:val="auto"/>
              </w:rPr>
            </w:pPr>
          </w:p>
        </w:tc>
        <w:tc>
          <w:tcPr>
            <w:tcW w:w="2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ICFI</w:t>
            </w: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60" w:type="dxa"/>
            <w:vAlign w:val="bottom"/>
            <w:tcBorders>
              <w:top w:val="single" w:sz="8" w:color="auto"/>
            </w:tcBorders>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r>
        <w:trPr>
          <w:trHeight w:val="216"/>
        </w:trPr>
        <w:tc>
          <w:tcPr>
            <w:tcW w:w="74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36"/>
        </w:trPr>
        <w:tc>
          <w:tcPr>
            <w:tcW w:w="742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ind w:right="8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6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6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33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0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4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80" w:val="left"/>
          <w:tab w:leader="none" w:pos="7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260" w:firstLine="509"/>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the last business day of the registrant’s most recently completed second fiscal quarter was approximately $1,538 million based upon the closing price per share of $84.71, as quoted on the Nasdaq Global Select Market on June 30, 2025. Shares of the outstanding common stock held by each executive officer and director have been excluded in that such persons may be deemed to be affiliates. This determination of affiliate status is not necessarily a conclusive determination for other purposes.</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20, 2026, 18,273,280 shares of the registrant’s common stock, $0.001 par value, were outstanding.</w:t>
      </w:r>
    </w:p>
    <w:p>
      <w:pPr>
        <w:spacing w:after="0" w:line="1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6"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Part III incorporates information by reference from the Proxy Statement for the 2026 Annual Meeting of Stockholders expected to be held in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1142365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80" w:type="dxa"/>
            <w:vAlign w:val="bottom"/>
          </w:tcPr>
          <w:p>
            <w:pPr>
              <w:spacing w:after="0"/>
              <w:rPr>
                <w:sz w:val="20"/>
                <w:szCs w:val="20"/>
                <w:color w:val="auto"/>
              </w:rPr>
            </w:pPr>
          </w:p>
        </w:tc>
      </w:tr>
      <w:tr>
        <w:trPr>
          <w:trHeight w:val="608"/>
        </w:trPr>
        <w:tc>
          <w:tcPr>
            <w:tcW w:w="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PART I</w:t>
            </w:r>
          </w:p>
        </w:tc>
        <w:tc>
          <w:tcPr>
            <w:tcW w:w="68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040" w:type="dxa"/>
            <w:vAlign w:val="bottom"/>
            <w:gridSpan w:val="11"/>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080" w:type="dxa"/>
            <w:vAlign w:val="bottom"/>
            <w:gridSpan w:val="17"/>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360" w:type="dxa"/>
            <w:vAlign w:val="bottom"/>
            <w:gridSpan w:val="20"/>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760" w:type="dxa"/>
            <w:vAlign w:val="bottom"/>
            <w:gridSpan w:val="15"/>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534"/>
        </w:trPr>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9"/>
              </w:rPr>
              <w:t>PART II</w:t>
            </w:r>
          </w:p>
        </w:tc>
        <w:tc>
          <w:tcPr>
            <w:tcW w:w="62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gridSpan w:val="19"/>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EE"/>
            </w:tcBorders>
            <w:gridSpan w:val="3"/>
          </w:tcPr>
          <w:p>
            <w:pPr>
              <w:spacing w:after="0"/>
              <w:rPr>
                <w:sz w:val="24"/>
                <w:szCs w:val="24"/>
                <w:color w:val="auto"/>
              </w:rPr>
            </w:pPr>
          </w:p>
        </w:tc>
        <w:tc>
          <w:tcPr>
            <w:tcW w:w="1640" w:type="dxa"/>
            <w:vAlign w:val="bottom"/>
            <w:gridSpan w:val="3"/>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4760" w:type="dxa"/>
            <w:vAlign w:val="bottom"/>
            <w:gridSpan w:val="8"/>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620" w:type="dxa"/>
            <w:vAlign w:val="bottom"/>
            <w:gridSpan w:val="2"/>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320" w:type="dxa"/>
            <w:vAlign w:val="bottom"/>
            <w:gridSpan w:val="13"/>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780" w:type="dxa"/>
            <w:vAlign w:val="bottom"/>
            <w:gridSpan w:val="16"/>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534"/>
        </w:trPr>
        <w:tc>
          <w:tcPr>
            <w:tcW w:w="7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PART III</w:t>
            </w:r>
          </w:p>
        </w:tc>
        <w:tc>
          <w:tcPr>
            <w:tcW w:w="5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41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7"/>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8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640" w:type="dxa"/>
            <w:vAlign w:val="bottom"/>
            <w:gridSpan w:val="4"/>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534"/>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940" w:type="dxa"/>
            <w:vAlign w:val="bottom"/>
            <w:gridSpan w:val="9"/>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18"/>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15.</w:t>
            </w:r>
          </w:p>
        </w:tc>
        <w:tc>
          <w:tcPr>
            <w:tcW w:w="8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12"/>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EE"/>
            </w:tcBorders>
            <w:gridSpan w:val="5"/>
          </w:tcPr>
          <w:p>
            <w:pPr>
              <w:spacing w:after="0"/>
              <w:rPr>
                <w:sz w:val="24"/>
                <w:szCs w:val="24"/>
                <w:color w:val="auto"/>
              </w:rPr>
            </w:pPr>
          </w:p>
        </w:tc>
        <w:tc>
          <w:tcPr>
            <w:tcW w:w="4940" w:type="dxa"/>
            <w:vAlign w:val="bottom"/>
            <w:gridSpan w:val="9"/>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8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60" w:type="dxa"/>
            <w:vAlign w:val="bottom"/>
            <w:gridSpan w:val="17"/>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Some of the statements in this Annual Report on Form 10-K constitute forward-looking statements as defined in the Private Securities Litigation Reform Act of 1995, as amended.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such forward-looking statements. In some cases, you can identify these statements by forward-looking words such as “anticipate,” “believe,” “could,” “estimate,” “expect,” “intend,” “may,” “plan,” “potential,” “should,” “will,” “would,” or similar words. You should read statements that contain these words carefully. The risk factors described in Item 1A of Part I of this Annual Report on Form 10-K captioned “Risk Factors,” or otherwise described in our filings with the Securities and Exchange Commission (“SEC”), as well as any cautionary language in this Annual Report on Form 10-K, provide examples of risks, uncertainties, and events that may cause our actual results to differ materially from the expectations we describe in our forward-looking statements, including, but not limited to:</w:t>
      </w:r>
    </w:p>
    <w:p>
      <w:pPr>
        <w:spacing w:after="0" w:line="80" w:lineRule="exact"/>
        <w:rPr>
          <w:sz w:val="20"/>
          <w:szCs w:val="20"/>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Congress or other governmental bodies to agree on spending priorities and approve budgets and debt ceiling increases in a timely fashion and related reductions in government spending, as well as the impact resulting from a lengthy federal government shutdown;</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current Administration’s (the “Administration”) policy changes and failure of the Administration to spend Congressionally mandated appropriations;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government budgeting and spending priorities;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contracts with United States (“U.S.”) federal, state and local, and international governments, agencies, and departments for the majority of our revenue;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resulting from expanding our service offerings and client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strong client relationships in order to successfully win new, or renew expired,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conflicts of interest to arise based on the diversity of the services we provide and the clients we serve;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and profit we derive from contracts awarded through a competitive bidding process;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U.S. General Services Administration (“GSA”) Multiple Award Schedule (“GSA Schedule”) and other Indefinite Delivery/Indefinite Quantity (“IDIQ”) contracts;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full amount of our backlog;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contracts that permit our clients to partially or completely terminate the contracts prior to completion;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other contractors and our ability to enter into “teaming”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accurately estimate or control costs in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of our commercial work on certain sectors of the global economy that are highly cyclical;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larger and more complex engagements;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protesting contract awards;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routine and non-routine government audits and investigations, including the unpredictability of the Administration’s executive orders;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information system and technology risks, including misuse of personal data and systems failures.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spacing w:after="0" w:line="8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we undertake presenting integration challenges, failing to perform as expected, increasing our liabilities, and/or reducing our earnings;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corporate structure and our outstanding and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pay dividends on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talented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laws, rules, and regulations that may differ across the jurisdictions in which we operate;</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of having international operations, including foreign currency fluctuations, tariffs and other trade restrictions, and geopolitical uncertainties and hostilities;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pandemics, and similar outbreaks.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forward-looking statements are based on the beliefs and assumptions of our management and the information available to our management at the time these statements were prepared. Although we believe the expectations reflected in these statements are reasonable, we cannot guarantee future results, levels of activity, performance, or achievements. You should not place undue reliance on these forward-looking statements, which apply only as of the date of this Annual Report on Form 10-K. We undertake no obligation to update these forward-looking statements, even if our situation changes in the future.</w:t>
      </w:r>
    </w:p>
    <w:p>
      <w:pPr>
        <w:spacing w:after="0" w:line="75"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terms “we,” “our,” “us,” and “the Company,” as used throughout this Annual Report on Form 10-K, refer to ICF International, Inc. and its consolidated subsidiaries, unless otherwise indicated. The term “federal” or “federal government” refers to the U.S. federal government, and “state and local” or “state and local government” refers to U.S. state (including U.S. territories) and local governments, unless otherwise indicated.</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ICF International, Inc. was formed in 1999 as a Delaware limited liability company under the name ICF Consulting Group Holdings, LLC. It was formed to purchase our principal operating subsidiary, which was founded in 1969, from a larger services organization. We converted to a Delaware corporation in 2003 and changed our name to ICF International, Inc. in 2006. We completed our initial public offering in September 2006.</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provide professional services and technology-based solutions, including management, technology, and policy consulting and implementation services, to government and commercial clients. Our government clients include U.S. federal agencies, state and local governments, as well as international governments. Our commercial clients include those that are inside and outside of the U.S.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help our clients conceive, develop, implement, and improve solutions that address complex business, natural resource, social, technological, and public safety issues. Our services primarily support clients that operate in these key markets:</w:t>
      </w:r>
    </w:p>
    <w:p>
      <w:pPr>
        <w:spacing w:after="0" w:line="54"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Environment, Infrastructure, and Disaster Recovery;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Social Programs;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Other Civilian &amp; Commercial.</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provide services to our diverse client base that deliver value throughout the entire life cycle of a policy, program, project, or initiative. We empower organizations to thrive in a rapidly changing world through five integrated service areas: Advisory Services, Program Implementation, Analytics Services, Digital Services, and Engagement Services. Our Advisory Services deliver strategic insights that help leaders anticipate trends and make confident decisions. Through Program Implementation, we turn strategy into action with tailored policies, programs, and tools that drive efficiency and impact. Our Analytics Services transform data into intelligence, leveraging advanced analytics and artificial intelligence (“AI”) to uncover opportunities and more informed decisions. With Digital Services, we design and secure innovative technology solutions that optimize performance, modernize information technology (“IT”) systems, and protect against evolving threats. Finally, our Engagement Services connect organizations with their audiences through compelling communications, branding, and digital experiences that inspire trust and action. Together, we provide end-to-end solutions that accelerate growth, strengthen resilience, and deliver measurable results.</w:t>
      </w:r>
    </w:p>
    <w:p>
      <w:pPr>
        <w:spacing w:after="0" w:line="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report operating results and financial data in one operating and reportable segment. We generated revenue of $1,872.9 million, $2,019.8 million, and $1,963.2 million during the years ended December 31, 2025, 2024, and 2023, respectively. Our total backlog was $3,405.0 million, $3,786.3 million, and $3,777.8 million at December 31, 2025, 2024, and 2023, respectively.</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8,400 full-time and part-time employees around the globe, including many recognized as thought leaders in their respective fields. We serve clients globally from our headquarters in the Washington, D.C. metropolitan area, our 49 regional offices throughout the U.S., and 14 offices outside the U.S., including offices in the United Kingdom (the “U.K.”), Belgium, Spain, India, and Canada.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 w:name="page6"/>
    <w:bookmarkEnd w:id="5"/>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INFORMATION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principal executive office is located at 1902 Reston Metro Plaza, Reston, Virginia 20190, and our telephone number is (703) 934-3000. We maintain an internet website at www.icf.com. We make available our Annual Reports on Form 10-K, Quarterly Reports on Form 10-Q, Current Reports on Form 8-K, and amendments to such reports filed or furnished pursuant to Section 13(a) or 15(d) of the Securities Exchange Act of 1934, as amended (the “Exchange Act”), Code of Business and Ethics, and other information related to us, free of charge, on this site as soon as reasonably practicable after we electronically file those documents with, or otherwise furnish them to, the SEC. Our internet website and the information contained therein or connected thereto are not intended to be incorporated into this Annual Report on Form 10-K. The SEC also maintains an internet website that contains reports, proxy and information statements, and other information regarding issuers that file electronically with the SEC at http://www.sec.gov.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 SERVICES, AND SOLUTIONS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Complex, long-term market factors, which include geopolitical, technological, environmental, and demographic trends, are accelerating change and reshaping priorities for government and industry. These dynamics, combined with increasing demands for efficiency, transparency, and accountability, are driving growth in advisory and technology-enabled services.</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see significant opportunities in areas such as analytics, digital services, and strategic communications, as clients seek solutions that integrate domain expertise with innovative technologies such as AI, cloud-native platforms, and low-code/no-code tools. Additionally, energy independence and prevention of fraud, waste, and abuse in our healthcare delivery systems, disaster recovery, and homeland security will continue to create demand for our services.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proven experience in disaster relief and infrastructure recovery positions us well to support federal, state, and local agencies in addressing critical societal challenges. As the federal government prioritizes efficiency and modernization, our agile, scalable, and cost-effective technology solutions deliver measurable outcomes aligned with commercial best practices.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Future success will depend on further strengthening client relationships, pursuing larger engagements across full program lifecycles, and executing strategic acquisitions to expand capabilities and geographic reach. While challenges such as political complexities and possible audit risks, particularly in disaster recovery, persist, we remain confident in our ability to deliver value and impact across all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Environment, Infrastructure, and Disaster Recovery</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provide advisory, technology, and program delivery services to utilities, government agencies, and commercial clients across energy, disaster recovery, environmental, and transportation sectors. Our integrated solutions address reliability concerns, rising electricity demand, regulatory changes, and resilience needs driven by climate and infrastructure challenges.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and Utility Services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view the energy industry as a particularly attractive growth sector over the next decade. Increasing energy demand from data centers, cryptocurrency operations, and electrification of buildings and vehicles, combined with reliability concerns and evolving state and federal regulations, is driving significant investment in diverse and cleaner energy sources and related infrastructure.</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expect continued demand for our energy advisory and consulting services from utilities, developers, and commercial clients. We also anticipate growth in our utility program design and delivery business, including energy efficiency programs, electrification and decarbonization initiatives, resiliency planning, environmental management, and IT integration.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Transportation, and Infrastructure</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decades of experience designing, evaluating, and implementing environmental policies and compliance programs for energy, transportation (including aviation), and infrastructure projects. Demand for these services is driven by:</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Unprecedented demand for energy generation and transmission as well as broadband Internet access;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precipitation patterns affecting water availability and flood risk;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Aging water, energy, and transportation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exposure of infrastructure to severe weather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investment initiatives;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economic development patterns requiring adaptive transportation and energy systems.</w:t>
      </w:r>
    </w:p>
    <w:p>
      <w:pPr>
        <w:spacing w:after="0" w:line="76" w:lineRule="exact"/>
        <w:rPr>
          <w:sz w:val="20"/>
          <w:szCs w:val="20"/>
          <w:color w:val="auto"/>
        </w:rPr>
      </w:pPr>
    </w:p>
    <w:p>
      <w:pPr>
        <w:ind w:right="240" w:firstLine="509"/>
        <w:spacing w:after="0" w:line="236" w:lineRule="exact"/>
        <w:rPr>
          <w:sz w:val="20"/>
          <w:szCs w:val="20"/>
          <w:color w:val="auto"/>
        </w:rPr>
      </w:pPr>
      <w:r>
        <w:rPr>
          <w:rFonts w:ascii="Times New Roman" w:cs="Times New Roman" w:eastAsia="Times New Roman" w:hAnsi="Times New Roman"/>
          <w:sz w:val="18"/>
          <w:szCs w:val="18"/>
          <w:color w:val="auto"/>
        </w:rPr>
        <w:t>Our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disciplinary capabilities in finance and economics, earth and life sciences, IT, and program management enable us to deliver services such as environmental impact assessments, environmental management information systems, air quality assessments, program evaluation, transportation and aviation planning and operational improvement, strategic communications, and regulatory modernization.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Disaster Recovery and Mitigation</w:t>
      </w:r>
    </w:p>
    <w:p>
      <w:pPr>
        <w:spacing w:after="0" w:line="78" w:lineRule="exact"/>
        <w:rPr>
          <w:sz w:val="20"/>
          <w:szCs w:val="20"/>
          <w:color w:val="auto"/>
        </w:rPr>
      </w:pPr>
    </w:p>
    <w:p>
      <w:pPr>
        <w:jc w:val="both"/>
        <w:ind w:right="60" w:firstLine="509"/>
        <w:spacing w:after="0" w:line="236" w:lineRule="exact"/>
        <w:rPr>
          <w:sz w:val="20"/>
          <w:szCs w:val="20"/>
          <w:color w:val="auto"/>
        </w:rPr>
      </w:pPr>
      <w:r>
        <w:rPr>
          <w:rFonts w:ascii="Times New Roman" w:cs="Times New Roman" w:eastAsia="Times New Roman" w:hAnsi="Times New Roman"/>
          <w:sz w:val="18"/>
          <w:szCs w:val="18"/>
          <w:color w:val="auto"/>
        </w:rPr>
        <w:t>We support federal, state, and local governments in planning, designing, and executing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disaster recovery and mitigation programs across the U.S. and its territories. As extreme weather events become more frequent and severe, we expect increasing demand for these services. Our work spans multiple years and includes recovery and housing assistance, environmental and infrastructure solutions, and mitigation planning.</w:t>
      </w:r>
    </w:p>
    <w:p>
      <w:pPr>
        <w:spacing w:after="0" w:line="9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With over 25 years of experience, we have provided on-the-ground support following major disasters, including Hurricanes Katrina, Rita, Harvey, Irma, Maria, Helene, and Milton, as well as Superstorm Sandy. Our expertise enables us to address hazards such as hurricanes, flooding, tornadoes, and wildfires, and to help communities secure recovery and mitigation funding, build resilience, and restore stability.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Social Programs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leverage our full suite of services to address critical challenges in health and social programs. A convergence of factors is driving unprecedented demand for innovation and accountability in these areas, including:</w:t>
      </w:r>
    </w:p>
    <w:p>
      <w:pPr>
        <w:spacing w:after="0" w:line="5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healthcare services and rising expenditures requiring rigorous evaluation of program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 abuse crises, including the widespread impact of the opioid epidemic;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urgent need to digitally transform government operations through advanced technologies such as AI and machine learning;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requirements for transparency and accountability in public sector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demand for social support systems, fueled by an aging population and interconnected issues across health, housing, transportation, energy, and employment;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rapidly evolving regulatory environment.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well positioned to help clients design, implement, and manage effective programs at international, national, regional, and local levels. Our expertise spans:</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biomedical research, healthcare quality, mental health, and health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communications and interactive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child and family welfare, housing and community development, and substance abuse prevention.</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Combining deep domain knowledge with advanced IT capabilities, we deliver powerful informatics and analytics solutions that are critical for managing and leveraging data to improve outcomes. We also partner with government and commercial clients to expand knowledge, develop programs, enhance operations, evaluate results, and drive measurable impact.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support key U.S. government agencies by providing:</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data collection and analysis;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design, delivery, and evaluation;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assistance centers and instructional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application development and information clearinghouse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Multichannel communications for public health initiatives.</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Additionally, we deliver training and technical assistance for early care and education programs, conduct health and demographic surveys, and provide similar services internationally to various international governments and the European Commission (the “E.C.”).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Other Civilian &amp; Commercial</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serve essential government missions and commercial markets where security and resilience are top priorities. Security programs remain a critical focus for governments worldwide and the private sector. Demand is driven by:</w:t>
      </w:r>
    </w:p>
    <w:p>
      <w:pPr>
        <w:spacing w:after="0" w:line="5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cyber and terrorist threats to critical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reputational risks following cyberattacks;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homeland security concerns across health, energy, food, water, telecommunications, and transportation;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urgency for disaster preparedness and rapid recovery;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challenges from global migration and demographic shifts.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trends create sustained demand for solutions that identify, prevent, and mitigate cybersecurity and societal risks. Our deep expertise in cybersecurity, resilience planning, and technology modernization positions us at the center of high-growth, mission-critical markets. As governments and enterprises face escalating security challenges, we are well equipped to deliver solutions that protect infrastructure, safeguard communities, and enable rapid recovery.</w:t>
      </w:r>
    </w:p>
    <w:p>
      <w:pPr>
        <w:spacing w:after="0" w:line="3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8" w:name="page9"/>
    <w:bookmarkEnd w:id="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possess the following key business strengths: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highly educated professional staff with deep subject matter knowledge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possess strong intellectual capital that provides us with a deep understanding of policies, processes, and programs across our clients’ markets. Our thought leadership is based on years of training, experience, and education. We are able to apply our in-depth knowledge of our subject matter experts, and our experience developed over 45 years of providing advisory services to address the problems and issues our clients are facing. As of December 31, 2025, approximately 42% of our benefits-eligible staff held post-graduate degrees in diverse fields such as the social sciences, business and management, physical sciences, public policy, human capital, IT, mathematics, engineering, planning, economics, life sciences, and law. These qualifications, and the complementary nature of our markets, enable us to deploy multi-disciplinary teams to identify, develop, and implement solutions that are creative, pragmatic, and tailored to our clients’ specific needs.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our diverse range of client markets, services, and projects provides a stimulating work environment for our employees that enhances their professional development. The use of multi-disciplinary teams provides our staff with the opportunity to develop and refine common skills required in many types of engagements. Our approach to managing people fosters collaboration and significant cross-utilization of the skills and experience of both industry experts and other personnel who can develop creative solutions by drawing on their different experiences. The types of services we provide, and the manner in which we do so, enable us to attract and retain talented professionals from a variety of backgrounds while maintaining a culture that fosters teamwork and excellence.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strong, long-standing relationships with clients across a diverse set of markets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long-term relationships we maintain with many of our clients reflect our successful track record of fulfilling our clients’ needs. We have numerous contacts at various levels within our clients’ organizations, ranging from key decision-makers to functional managers. The long-standing nature and breadth of our client relationships adds greatly to our institutional knowledge, which, in turn, helps us carry out our client engagements more effectively and maintain and expand such relationships. Our extensive experience working alongside our clients and client contacts, together with our prime contractor position on a substantial majority of our contracts, gives us clearer visibility into future opportunities and emerging requirements. We believe our balance between government agencies, our commercial presence, and the diversity of markets in which our clients operate help mitigate the impact of policy or political shifts, as well as annual shifts in our clients’ budgets and priorities.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advisory services position us to capture a full range of engagements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believe our advisory approach, which is based on our subject matter expertise combined with an understanding of our clients’ requirements and objectives, is a significant competitive differentiator that helps us gain access to key client decision-makers during the initial phases of a policy, program, project, or initiative. We use our expertise and understanding to formulate customized recommendations for our clients. We believe this domain expertise and program knowledge, developed from our advisory engagements, further positions us to provide a full suite of services across the entire life cycle of a particular policy, program, project, or initiative. As a result, we are able to understand our clients’ requirements and objectives as they evolve over time. We then use this knowledge to provide continuous improvement across our entire range of services, which maintains the relevance of our recommendations.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technology-enabled solutions are driven by our subject matter expertise and creativity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Government and commercial decision-makers have become increasingly aware that, to be effective, technology-based solutions need to be seamlessly integrated with people and processes. We possess a strong knowledge and experience base in IT and a thorough understanding of organizational behavior and human decision processes. We have strong partnerships and experience in cloud-based technology platforms and open-source ecosystems that are central to our federal government clients’ technology modernization agendas. We also have growing experience in establishing and deploying innovative AI solutions to support our clients’ missions. This combination of skills, along with our domain knowledge, allows us to deliver technology-enabled solutions tailored to our clients’ business and organizational needs with less start-up time required to understand client issues. In addition, many of our clients seek to deploy cutting-edge solutions to communicate and transact with citizens, stakeholders, and customers in a multichannel environment, and doing so takes both our constantly refreshed technical know-how and world-class creativity.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tools, analytics, and methods allow us to deliver superior solutions to our clients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our innovative, and often proprietary, analytics and methods are key competitive differentiators because they enhance our ability to deliver customized solutions to our clients and enable us to deliver services in a more cost-effective manner than our competitors. For example, we have developed industry-standard energy and environmental models that are used by governments and commercial entities around the world for energy planning and air quality analyses and we have also developed a suite of proprietary planning and analysis tools to help the private sector more quickly and economically develop new electricity generation and transmission assets. In addition, we also have proprietary program management methodologies and services that we believe can help clients improve performance measurement, support chief information officer and science and engineering program activities, and reduce security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led by an experienced management team</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management team, consisting of 279 senior leaders with the title of vice president or higher, possesses extensive industry experience and had an average tenure of approximately 18 years with us as of December 31, 2025 (including prior service with companies we have acquired). This tenure allows us to retain institutional knowledge. Our managers are experienced both in marketing efforts and in successfully managing and executing our key services. Our management team also has experience in acquiring other businesses and integrating those operations with our own. Dozens of our managers are industry-recognized thought leaders. We believe that our management’s successful past performance and deep understanding of our clients’ needs have been and will continue to be differentiating factors in competitive situations.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broad global presence</w:t>
      </w:r>
    </w:p>
    <w:p>
      <w:pPr>
        <w:spacing w:after="0" w:line="121"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We serve our clients with a global network of 49 regional offices throughout the U.S., and 14 offices in key markets outside the U.S., including offices in the U.K., Belgium, Spain, India, and Canada. Our global presence also gives us access to many of the leading subject matter experts from around the world, allowing us to expand our knowledge base and areas of functional expertise. Over the years, we have worked in dozens of countries, helping government and commercial clients with energy, environment, infrastructure, healthcare, interactive technology/e-commerce, and air transport matters. Although international operations present challenges in the form of inconsistent legal systems, differing levels of intellectual property protection, and trade regulation issues, we believe our international operations will continue to play a significant role in our clients’ operations and in our platform.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strategy to increase our revenue and shareholder value involves the following key elements: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 our commercial businesses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pursue profitable commercial projects, and we believe we have strong, global client relationships in both the commercial energy and air transport markets. We continue to see growth opportunities in our current commercial energy business as well as continued focus on other commercial business such as aviation and tourism.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view the energy industry as a particularly attractive sector for us over the next decade due to concerns over controlling energy costs and limiting climate and environmental impacts, increasing energy demands related to electrification projects and the expansion of data centers due to AI, changing state and federal regulation, the need for cleaner and more diverse sources of energy, and the concomitant need for infrastructure to transport/transmit, store, and/or convert those new energy sources. Although we believe the utility industry will continue to be a strong market for advisory services, particularly in light of the changing focus on regulatory actions and alternative energy sources, we intend to leverage our existing relationships and institutional expertise to pursue and capture additional, and typically higher-margin, opportunities. For example, we believe we can continue to expand our program-based and technology-enabled services in areas such as assisting with the implementation of energy efficiency programs, electrification and decarbonization initiatives, IT applications, and environmental management services for larger utilities. The growth of interest in sustainability and energy efficiency issues has created opportunities to offer these types of services to new clients beyond our traditional sectors. We believe these factors, coupled with our expansive national footprint and our international market presence, will result in a greater number of engagements that will also be larger in size and scope. To this end, on December 31, 2024, we acquired Applied Energy Group (“AEG”), a leading energy technology and advisory services company with over 100 utility management and demand side energy experts. AEG provides a suite of integrated technology and advisory solutions to electric and gas utilities, state and local governments, and state energy offices nationwide and has enhanced our market presence and client footprint.</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expect that interest in energy advisory services will continue to expand as clients in a number of industries, including information service providers, seek to better understand their energy consumption options and the positive benefits of demonstrating energy efficiency and environmental stewardship. Our broad range of services to the aviation industry makes us well positioned to capitalize on significant industry changes; substantial airline equipment upgrades to newer, more efficient aircraft models in a cost-constrained environment; testing and adoption of sustainable aviation fuels; and changes to airport business models and strategy as they place increasing importance on passenger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Replicate our business model across government and industry in selected geographies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believe the services we provide to our energy, environment, and infrastructure market have strong growth potential in selected geographies. Our domain expertise is well suited in Europe to meet the need for cutting-edge climate change, energy, and environmental solutions, particularly with our offerings to the U.K. government and the 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Strengthen our technology-based offerings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Since 2020, we have executed a series of strategic acquisitions to strengthen our leadership in IT modernization and cloud-based solutions. These investments, combined with the introduction of our proprietary ICF Fathom AI platform in 2025, position us to deliver advanced offerings in cloud, AI, business process automation, data management, and analytics that help clients better connect with citizens, consumers, and stakeholders.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advisory work into full life-cycle solutions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plan to continue to leverage our advisory services and strong client relationships to increase our revenue by winning longer-term engagements. These engagements could include: information services and technology-based solutions; project and program management; business process solutions; and technical assistance and training. Our advisory services provide us with insight and understanding of our clients’ missions and goals. We believe the domain expertise and program knowledge we develop from these advisory assignments position us to capture a greater portion of the resulting larger engagements; however, we will need to undertake such expansion carefully to avoid actual, potential, and perceived conflicts of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Enhance and deepen our presence in core government markets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current political and policy environment have created challenging market conditions for all competitors in the government services sector; however, we believe that changes driven by the Administration will provide opportunities to accelerate digital transformation of the U.S. federal government activities and to provide advisory and analytic support to changing policy priorities. We will focus not only on enhancing our current market footprint and continue expanding across key growth markets, such as U.S. federal government energy and resilience-related programs, reengineering of U.S. public health and research efforts, and cybersecurity initiatives, digital services, and disaster recovery work for state and local governments. We will continue to provide innovative solutions that help our public sector clients do more with less. We will specifically target deeper penetration of those agencies that currently procure services only from one or two of our service areas, and our skills and market presence in technology modernization provides us with capabilities in this effort. We believe we can leverage many of our long-term client relationships by introducing these existing clients, where appropriate, to our other services in order to better meet their needs. For example, we introduce many of our advisory clients to our capabilities to provide associated IT, cybersecurity, large-scale program management, and strategic communications and digital services. We can also offer clients our extensive performance measurement, program evaluation, and performance management services. Finally, our network of offices across the U.S. allows us to focus our business development efforts on addressing the needs of U.S. federal and state and local government agencies with operations outside the Washington, D.C. metropolitan area.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Pursue larger prime contract opportunities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believe that continuing to expand our client engagements into services we offer as part of our end-to-end client solutions enables us to pursue larger prime contract opportunities, which should provide a greater return on our business development efforts and allow for increased employee utilization. We plan to continue to target larger and longer-term opportunities through greater emphasis on early identification of opportunities, strategic capture and positioning, and enhanced brand recognition. We believe that the resulting increase in the scale, scope, and duration of our contracts will help us continue to grow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Pursue strategic acquisitions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plan to augment our organic growth with selective, strategic acquisitions when the target company will enable us to obtain new clients, increase our presence in attractive markets, obtain capabilities that complement our existing portfolio of services, and/or gain access to customers and contracts; provided that the target company has cultural compatibility and we expect that the acquisition will have a positive financial impact.</w:t>
      </w:r>
    </w:p>
    <w:p>
      <w:pPr>
        <w:spacing w:after="0" w:line="6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These elements of our strategy permeate throughout the Company and influence our day-to-day decisions. We believe that, collectively, they support the overall long-term growth of the organization.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AND CONTRACT MIX</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clients span a broad range of civilian and defense agencies and commercial enterprises. Government clients include organizations such as the World Bank and the United Nations, while commercial clients include non-profit organizations and universities. In general, a client is considered to be a government client if its primary funding is from a government agency or institution. If we are a subcontractor, we classify the revenue based on the nature of the ultimate client receiving the services.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fiscal years 2025, 2024, and 2023, our revenue by client type and contract type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government</w:t>
            </w:r>
          </w:p>
        </w:tc>
        <w:tc>
          <w:tcPr>
            <w:tcW w:w="100" w:type="dxa"/>
            <w:vAlign w:val="bottom"/>
            <w:shd w:val="clear" w:color="auto" w:fill="CCEEFF"/>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U.S. state and local government</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government</w:t>
            </w:r>
          </w:p>
        </w:tc>
        <w:tc>
          <w:tcPr>
            <w:tcW w:w="100" w:type="dxa"/>
            <w:vAlign w:val="bottom"/>
            <w:shd w:val="clear" w:color="auto" w:fill="CCEEFF"/>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460" w:type="dxa"/>
            <w:vAlign w:val="bottom"/>
            <w:gridSpan w:val="2"/>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111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Time-and-materials</w:t>
            </w:r>
          </w:p>
        </w:tc>
        <w:tc>
          <w:tcPr>
            <w:tcW w:w="100" w:type="dxa"/>
            <w:vAlign w:val="bottom"/>
            <w:shd w:val="clear" w:color="auto" w:fill="CCEEFF"/>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Fixed-price</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Cost-based</w:t>
            </w:r>
          </w:p>
        </w:tc>
        <w:tc>
          <w:tcPr>
            <w:tcW w:w="100" w:type="dxa"/>
            <w:vAlign w:val="bottom"/>
            <w:shd w:val="clear" w:color="auto" w:fill="CCEEFF"/>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360" w:type="dxa"/>
            <w:vAlign w:val="bottom"/>
            <w:shd w:val="clear" w:color="auto" w:fill="CFF0FC"/>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4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fiscal years 2025, 2024, and 2023, our largest client was the Department of Health and Human Services (“HHS”) with 22%, 25%, and 26% of total revenue, respectively. There was no other client with revenue greater than 5%.</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revenue is primarily from prime contracts under which we work directly for the end customer. These accounted for approximately 86%, 87%, and 89% of our revenue for the 2025, 2024, and 2023 fiscal years, respectively.</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contract periods typically extend from one month to five years, including option periods. Many of our government contracts provide for option periods that may be exercised by the client. In 2025, 2024, and 2023, no single contract accounted for more than 2% of our revenue for those fiscal years, respectively. Our 10 largest contracts by revenue collectively accounted for approximately 14%, 12%, and 14% of our revenue in the 2025, 2024, and 2023 fiscal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BACKLOG</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define backlog as the future revenue we expect to receive from our contracts and other engagements. We generally include in our backlog the estimated revenue represented by contract options that have been priced, but not exercised. We do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color w:val="auto"/>
        </w:rPr>
        <w:t xml:space="preserve"> include any estimate of revenue relating to potential future delivery orders that might be awarded under our GSA Schedule contracts, other IDIQ contracts, Master Service Agreements (“MSAs”), or other contract vehicles that are also held by a large number of firms and under which potential future delivery orders or task orders might be issued by any of a large number of different agencies, and are likely to be subject to a competitive bidding process. We do, however, include potential future work expected to be awarded under IDIQ contracts that are available to be utilized by a limited number of potential clients and are held either by us alone or by a limited number of firms, and we have a history of working with these clients on predecessor IDIQ contracts or other contract vehicles.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include expected revenue in funded backlog when we have been authorized by the client to proceed under a contract up to the dollar amount specified by our client, and this amount will be owed to us under the contract after we provide the services pursuant to the authorization. If we do not provide services authorized by a client prior to the expiration of the authorization, we remove amounts corresponding to the expired authorization from funded backlog. We include expected revenue under an engagement in funded backlog when we do not have a signed contract, but only in situations when we have received client authorization to begin or continue work and we expect to sign a contract for the engagement. In this case, the amount of funded backlog is limited to the amount authorized. Our funded backlog does not represent the full revenue potential of our contracts because many government clients, and sometimes other clients, authorize and fund work under a particular contract on a yearly or more frequent basis, even though the contract may extend over several years. Most of the services we provide to commercial clients are provided under fully funded contracts and task orders under MSAs. As a consequence, our backlog attributable to these clients is typically reflected in funded backlog and not in unfunded backlog.</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estimate of unfunded backlog for a particular contract is based, to a large extent, on the customer, the terms of the agreement, and our history with that particular customer. In addition, the amount of revenue we have recently recognized on the particular contract under the assumption that future utilization will be similar, our past experience in utilizing contract capacity on similar types of contracts, and our professional judgment. Accordingly, if contract utilization is different from our expectations, the revenue eventually earned on a contract may be lower or higher than that implied by our estimate at a point in time or during the life of a contract, of total backlog, including unfunded backlog. Although we expect our total backlog to result in revenue, the timing of revenue associated with both funded and unfunded backlog will vary based on a number of factors, and we may not recognize revenue associated with a particular component of backlog when anticipated, or at all. Our government clients generally have the right to cancel any contract, or ongoing or planned work under any contract, at any time. In addition, there can be no assurance that revenue from funded or unfunded backlog will have similar profitability to previous work or will be profitable at all. Generally speaking, we believe the risk that a particular component of backlog will not result in future revenue is higher for unfunded backlog than for funded backlog.</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funded and estimates of unfunded and total backlog were as follows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Funded</w:t>
            </w:r>
          </w:p>
        </w:tc>
        <w:tc>
          <w:tcPr>
            <w:tcW w:w="136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1,711.7</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1,857.1</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1,775.1</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Unfunded</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1,693.3</w:t>
            </w:r>
          </w:p>
        </w:tc>
        <w:tc>
          <w:tcPr>
            <w:tcW w:w="600" w:type="dxa"/>
            <w:vAlign w:val="bottom"/>
          </w:tcPr>
          <w:p>
            <w:pPr>
              <w:spacing w:after="0"/>
              <w:rPr>
                <w:sz w:val="18"/>
                <w:szCs w:val="18"/>
                <w:color w:val="auto"/>
              </w:rPr>
            </w:pPr>
          </w:p>
        </w:tc>
        <w:tc>
          <w:tcPr>
            <w:tcW w:w="2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1,929.2</w:t>
            </w:r>
          </w:p>
        </w:tc>
        <w:tc>
          <w:tcPr>
            <w:tcW w:w="60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2,002.7</w:t>
            </w:r>
          </w:p>
        </w:tc>
      </w:tr>
      <w:tr>
        <w:trPr>
          <w:trHeight w:val="20"/>
        </w:trPr>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7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3,405.0</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3,786.3</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3,777.8</w:t>
            </w:r>
          </w:p>
        </w:tc>
      </w:tr>
      <w:tr>
        <w:trPr>
          <w:trHeight w:val="20"/>
        </w:trPr>
        <w:tc>
          <w:tcPr>
            <w:tcW w:w="17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-25400</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awards included in our 2025, 2024, or 2023 backlog amounts that were under protest.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business development efforts are critical to our organic growth. Our business development processes and systems are designed to enable agility and speed-to-market over the business development life cycle, especially given the distinctions between commercial and government clients. Business development efforts in priority market areas, which include some of our largest federal agency accounts (HHS, the U.S. Department of Defense (“DoD”), the U.S. Department of Energy (“DoE”), and the U.S. Department of Transportation (“DoT”)), are executed through account teams. Each team participates in regular executive reviews of marketing plans and proposal development processes. Our non-federal government clients are served by account leaders from operating units and coordinated by senior leaders with industry experience where such coordination is deemed appropriate to enhance our business development success. This account-based approach allows deep insight into the needs of current and future clients. It also helps us anticipate our clients’ evolving requirements over the coming 12 to 18 months and position ourselves to meet those requirements. Each administrative group is responsible for maximizing sales in our existing accounts and finding opportunities in closely related accounts.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corporate business development function also includes a market research and competitive intelligence group, and a proposal group. The marketing function engages in brand marketing and strategic marketing program development and execution to raise awareness of our services and solutions across our markets, and to generate leads for further pursuit by sales personnel. The marketing function also executes corporate communications campaigns to support specific lines of business. Our contracts and administration function supports bid price development in partnership with the business development account teams.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and fragmented marketplace and compete against a number of firms in each of our clients’ key markets. Some of our principal competitors include: Abt Global; Accenture; AECOM Technology Corporation; Booz Allen Hamilton Holding Corporation; CACI International Inc.; CLEAResult; Deloitte LLP; General Dynamics, Inc.; Guidehouse; Leidos Holdings, Inc.; PA Consulting Group; Science Applications International Corporation; Research Triangle Institute, International; Tetra Tech Inc.; and Westat, Inc. In addition, we have numerous smaller competitors, many of which have narrower service offerings and serve niche markets. Some of our competitors are significantly larger than we are and have greater access to resources and stronger brand recognition than we do.</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consider our principal competitive advantages to be long-standing client relationships, the good reputation and past performance of the firm, client references, the technical knowledge and industry expertise of our employees, the quality of our services and solutions, and the scope and scale of our service offerings.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own a number of trademarks, copyrights, and internally developed software that helps maintain our business and competitive position. Sales and licenses of our intellectual property do not currently comprise a substantial portion of our revenue or profit. We rely on the technology and models, proprietary processes, and other intellectual property we own or have the right to use in our analyses and other work we perform for our clients. We use these innovative, and often proprietary, software, analytical models, and tools throughout our service offerings. Our staff regularly maintains, updates, and improves these software, models, and tools based on our corporate experience. In addition, we sometimes retain limited rights in software applications we develop for clients. We use a variety of means to protect our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human capital strategy is fundamental to our success as a global solutions and technology provider. To that end, we put immense effort into attracting, developing, and retaining highly qualified individuals who deliver innovation, efficiency, and impact to the clients and communities we serve. We have designed our human resources programs to enable our workforce of experts to reach their full potential. We develop our employees so they can build our capability for the future; reward and support employees through competitive pay and benefit programs; and evolve and invest in technology, tools, and resources that maximize our impact.</w:t>
      </w:r>
    </w:p>
    <w:p>
      <w:pPr>
        <w:spacing w:after="0" w:line="75" w:lineRule="exact"/>
        <w:rPr>
          <w:sz w:val="20"/>
          <w:szCs w:val="20"/>
          <w:color w:val="auto"/>
        </w:rPr>
      </w:pPr>
    </w:p>
    <w:p>
      <w:pPr>
        <w:jc w:val="both"/>
        <w:ind w:right="3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employed approximately 8,400 employees, 83% of whom were employed full-time. The results of our continuous employee listening surveys consistently reflect a strong level of engagement that empowers our employees to thrive in their work, in our culture, and in their lives. A vast majority of our employees find their work meaningful, feel valued, and are proud to work at ICF. Additionally, they report that their values align with the work we do and intend to stay at ICF.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built a culture rooted in expertise, innovation, and purpose, enabling us to build a more prosperous and resilient world for all. We are a vibrant community of experts, united by our drive to increase the value we provide and make a positive impact. Grounded in data-driven insights and our shared purpose, we foster a high-performance environment that values creativity, agility, critical thinking, mutual respect and support, and a multidisciplinary approach. Since our founding in 1969, we have been a mission-driven company delivering high-impact results that help our clients move forward with confidence.</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our culture and values help us attract a wide pool of talent, perspectives, and experiences so we can select the most capable people to support a workplace culture that best serves our clients. From day one, we strive to help our employees reach their fullest potential by empowering them to put ICF’s values into action as they work, connect, and support each other across teams, client partnerships, and time zones.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 Development, and Retention</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Successful talent attraction and retention depends on a strong employer brand that reflects both a compelling employee value proposition and a healthy work-life balanced environment and unique culture. We continue to invest in the team, technology, and storytelling that bring this culture to life and differentiate us in the market. Our digital and social media presence, built with an employee first lens, highlights the experiences and impact of our people and strengthens our visibility as an employer of choice.</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2025, our talent acquisition efforts reached 1.5 million unique prospects; investments like this help us maintain a targeted pipeline of skills-based talent. Fifteen percent of career site visitors who engaged with our blog content applied for a role, and one in five hires came through engagement features built into our career site technology. Our programmatic hiring strategy, supported by technology driven efficiencies, continues to shorten time-to-find for new hires.</w:t>
      </w:r>
    </w:p>
    <w:p>
      <w:pPr>
        <w:spacing w:after="0" w:line="72" w:lineRule="exact"/>
        <w:rPr>
          <w:sz w:val="20"/>
          <w:szCs w:val="20"/>
          <w:color w:val="auto"/>
        </w:rPr>
      </w:pPr>
    </w:p>
    <w:p>
      <w:pPr>
        <w:jc w:val="both"/>
        <w:ind w:right="80" w:firstLine="509"/>
        <w:spacing w:after="0" w:line="289" w:lineRule="auto"/>
        <w:rPr>
          <w:sz w:val="20"/>
          <w:szCs w:val="20"/>
          <w:color w:val="auto"/>
        </w:rPr>
      </w:pPr>
      <w:r>
        <w:rPr>
          <w:rFonts w:ascii="Times New Roman" w:cs="Times New Roman" w:eastAsia="Times New Roman" w:hAnsi="Times New Roman"/>
          <w:sz w:val="17"/>
          <w:szCs w:val="17"/>
          <w:color w:val="auto"/>
        </w:rPr>
        <w:t>Once a new hire joins us, we engage with the employee to enable them for long-term success with a robust onboarding program, including sessions focused on our purpose and values, well-being and benefits offerings, and growth opportunities. Regardless of their role, team, or location, all employees have opportunities to make connections and build community, including informal networking, and formal mentoring and peer connection programs.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When our employees grow, our solutions thrive. We have tailored learning and development offerings for every stage of career, and every type of learner, ranging from experiential learning to informal learning and formal courses. In 2025, we delivered digital and instructor-led programs to build skills in various areas, including leadership, people management, project management, consulting, business development, finance, technology, collaboration, and innovation skills. To increase enterprise-wide access to industry-leading content, we also partnered with best-in-class providers like LinkedIn Learning, Pluralsight, Workday Learning, and Microsoft to provide our employees with self-paced digital learning programs. Alongside bringing our AI expertise and services to clients and partners, we invest in AI training programs that empower employees to take innovative approaches to client work and day-to-day operations. Integrating responsible AI practices, policies, and tools has delivered productivity gains, greater insights, and stronger collaboration by improving efficiency, creating a more agile work environment, and freeing up time for higher-value activities and strategic initiatives.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managers and leaders, we offer programs that support their development and ensure they have the tools and resources they need to be effective, whether they are at an emerging, experienced, or senior level leaders. In 2025, we introduced a new enterprise-wide approach to continue building our pipeline of tomorrow’s leaders. This program provides a robust, shared framework for developing leaders in their current roles and preparing highly effective leaders for future roles, in line with our business objectives.</w:t>
      </w:r>
    </w:p>
    <w:p>
      <w:pPr>
        <w:spacing w:after="0" w:line="7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All employees participate in our Impact Conversations program which includes an annual performance appraisal with their manager, alongside regular feedback and coaching, and career growth planning. In addition, our anytime feedback process and recognition program empower employees to give and receive feedback from their peers, managers, and leaders at any point during the year.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Year on year, we experience voluntary employee turnover that is consistently below industry benchmarks. In 2025, our overall company turnover was 12.9% and when excluding our on-call team members, it was 9.4%.</w:t>
      </w:r>
    </w:p>
    <w:p>
      <w:pPr>
        <w:spacing w:after="0" w:line="54"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Our approach has earned independent recognition. Over the past year, ICF was named to the Fortune list of America’s Most Innovative Companies; recognized by Forbes as one of America’s Best Employers for Company Culture; and included among the Best Companies to Work For by U.S. News &amp; World Report. We were also recognized as a Best Place to Work by PRWeek and as an employer of choice across multiple categories by Newsweek.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Well Being</w:t>
      </w:r>
    </w:p>
    <w:p>
      <w:pPr>
        <w:spacing w:after="0" w:line="119" w:lineRule="exact"/>
        <w:rPr>
          <w:sz w:val="20"/>
          <w:szCs w:val="20"/>
          <w:color w:val="auto"/>
        </w:rPr>
      </w:pPr>
    </w:p>
    <w:p>
      <w:pPr>
        <w:ind w:right="320" w:firstLine="509"/>
        <w:spacing w:after="0" w:line="220" w:lineRule="exact"/>
        <w:rPr>
          <w:sz w:val="20"/>
          <w:szCs w:val="20"/>
          <w:color w:val="auto"/>
        </w:rPr>
      </w:pPr>
      <w:r>
        <w:rPr>
          <w:rFonts w:ascii="Times New Roman" w:cs="Times New Roman" w:eastAsia="Times New Roman" w:hAnsi="Times New Roman"/>
          <w:sz w:val="18"/>
          <w:szCs w:val="18"/>
          <w:color w:val="auto"/>
        </w:rPr>
        <w:t>Our well-being and total rewards team benchmarks externally and evaluates evolving workforce needs, incorporating insights from voluntary employee surveys. This process helps ensure that our offerings align with what employees value most. When surveyed, employees reported that the top three reasons they continue to work at ICF are the ability to work remotely, flexible work schedules, and strong relationships with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workers and managers.</w:t>
      </w:r>
    </w:p>
    <w:p>
      <w:pPr>
        <w:spacing w:after="0" w:line="92"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also conducted a survey to develop our 2026 benefits strategy. Based on this input, we expanded mental health resources, introduced a new medical coverage carrier to improve access and manage costs, enhanced reproductive and family health support, and hosted more than 30 educational webinars.</w:t>
      </w:r>
    </w:p>
    <w:p>
      <w:pPr>
        <w:spacing w:after="0" w:line="68"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Of those surveyed, 95% reported that ICF’s mental health offerings improved their well-being. Our commitment to supporting employees holistically, regardless of location, reinforces our focus on fostering a resilient, engaged workforce that drives long-term success. Recognizing this approach, FlexJobs named ICF among its Top 100 Companies to Watch.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provide our services to U.S. federal and state and local governments, as well as international government clients, and we are therefore subject to a variety of laws and regulations. Our failure to comply with the complex laws, rules, and regulations applicable to us could cause us to lose business and subject us to a variety of penalties and sanctions. Additionally, we are subject to various routine and non-routine governmental and other reviews, audits, and investigations, the results of which could affect our operating results and also subject us to penalties and sanctions. See “Item 1A. Risk Factors - Compliance Risks” for a more detailed description of the regulatory and compliance risks we face.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discussion sets forth the material risk factors facing the Company that make an investment in us speculative or risky. This information should be read in conjunction with the description of our business, Management’s Discussion and Analysis, and the consolidated financial statements and related notes contained in this Annual Report on Form 10-K. Because of the following factors affecting our business, operations, financial position or future financial performance, reputation, and/or value of our stock, past financial performance should not be considered to be a reliable indicator of future performance, and investors should not use historical trends to anticipate results or trends in future periods.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BUDGETING AND SPENDING PRIORITIES RISKS</w:t>
      </w:r>
    </w:p>
    <w:p>
      <w:pPr>
        <w:spacing w:after="0" w:line="1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The failure of Congress to approve appropriations bills in a timely manner for the federal government agencies and departments we support, or the failure of the Administration and Congress to reach an agreement on fiscal issues, could delay and reduce spending, cause us to lose revenue and profit, and affect our cash flow.</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an annual basis, Congress is required to approve appropriations bills that govern spending by each of the federal government agencies and departments we support. When Congress is, or Congress and the Administration are, unable to agree on budget priorities or specifics, and thus unable to pass annual appropriations bills on a timely basis, Congress typically enacts a continuing resolution. Continuing resolutions generally allow federal government agencies and departments to operate at spending levels based on the previous fiscal year. When agencies and departments operate on the basis of a continuing resolution, funding we expect to receive from clients for work we are already performing and for new initiatives may be delayed or canceled. Congress and the Administration have from time to time failed to agree on a continuing resolution, resulting in temporary shutdowns of non-essential federal government functions and our work on such functions. Failures by Congress and the Administration to enact appropriations bills in a timely manner can force federal government agencies and departments to shut down or to cancel, change, or delay the implementation of existing or new initiatives, which may result in the loss of revenue and profit, or the deferral of revenue and profit to later periods. There is also the possibility that Congress will fail to raise the U.S. debt ceiling when necessary which, in addition to resulting in federal government shutdowns, could significantly impact the U.S. and global economy, affecting the discretionary spending decisions of our non-governmental clients and affecting the capital markets and our access to sources of liquidity on terms that are acceptable to us. We have experienced delayed funding or shutdown of many parts of the federal government, including agencies, departments, programs, and projects we support, and such events in the future could have a substantial negative effect on our revenue, profit, and cash flows.</w:t>
      </w:r>
    </w:p>
    <w:p>
      <w:pPr>
        <w:spacing w:after="0" w:line="89"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Budget compromises that may be needed for future fiscal years may continue to be extraordinarily difficult given the complicated political environment, a closely divided Congress, an increasing federal deficit, and debt load.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budgets of many of our state and local government clients are also subject to similar divisions, risks, and uncertainties as are inherent in the federal budget process.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spending priorities may change in a manner adverse to our business.</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derived approximately 43%, 54%, and 55% of our revenue in 2025, 2024, and 2023, respectively, from contracts with federal government clients, and approximately 24%, 21%, and 21% of our revenue from contracts with state and local governments and international governments in 2025, 2024, and 2023, respectively. Expenditures by our federal government clients may be restricted or reduced by Administration or Congressional actions, by action of the Office of Management and Budget, or by action of individual agencies or departments. This may include impact to our revenue, profit, and cash flows as a result of changes by or changes in the priorities of the Administration. In addition, many state and local governments are not permitted to operate with budget deficits, and nearly all state and local governments face considerable challenges in balancing their budgets. Pursuant to the executive orders issued by the Administration and actions by the Department of Government Efficiency (“DOGE”), we received contract terminations and temporary stop-work orders primarily in the first and second quarters of 2025. We expect that, due to changing government budgeting and spending priorities, including necessary balancing of defense spending with civilian agency spending, and related disputes among Congress and the Administration, some of our government clients in the future may elect to terminate or issue stop-work orders with respect to our contracts or programs for which we perform services, delay payments due to us, eventually fail to pay what they owe us, and/or delay certain programs and projects. For some government clients, we may face a difficult choice: turn down (or stop) work due to budget uncertainty with the risk of damaging a valuable client relationship or perform work with the risk of not being paid in a timely fashion or perhaps at all. Federal, state and local government, and/or international government elections could also affect spending priorities and budgets at all levels of government. In addition, increased government deficits and debt, both domestic and international, may lead to reduced spending by agencies and departments on projects or programs we support.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CHANGING BUSINESS ENVIRONMENT IN WHICH WE OPERATE</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As we develop new services, clients, and practices, enter new lines of business, and focus more of our business on providing a full range of client solutions, the additional demands that such growth places on our management and staff, information and operational systems, and cash flow may adversely affect the quality of our work, our operating margins, and our operating results.</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part of our corporate strategy, we are attempting to leverage our advisory services to sell our full suite of services across the life cycle of a policy, program, project, or initiative and we are regularly searching for ways to provide new services to clients. In addition, we seek to extend our services to new clients, lines of business, and select geographic locations, including outside the U.S., and capitalize on new cross-border opportunities. As we focus more on our delivery of a full range of consulting services from advisory through implementation and attempt to develop new services, clients, practice areas, and lines of business, these efforts could be unsuccessful and adversely affect our results of operations.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Such growth efforts place substantial additional demands on our management and staff, as well as on our information, financial, cash flow, and administrative and operational systems. We may not be able to manage these demands successfully. Growth may require increased recruiting efforts, business development, selling, marketing and other actions that are expensive and increase risk. We may need to invest more in our people and systems, controls, compliance efforts, policies, and procedures than we anticipate. Further, we may need to enhance or modify our systems or processes, or transition to more efficient or effective ones, and these changes and how we handle them may impact the business. Therefore, even if we do grow, the demands on our people and systems, controls, compliance efforts, policies, and procedures may adversely affect the quality of our work, our operating margins, and our operating results, at least in the short-term, and perhaps in the long-term.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Efforts involving a different focus, new services, new clients, new practice areas, new lines of business, and increasing internationalization include risks associated with our inexperience and competition from mature participants in those areas. Our expansion of services may result in decisions that could harm our profit and operating results. In particular, implementation and improvement services often relate to the development, implementation, and improvement of critical infrastructure or operating systems that our clients may view as “mission critical”. If we fail to satisfy the needs of our clients in providing these services, we could incur reputational damage, and clients could claim significant costs and losses for which they could seek compensation from us.</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as we deploy AI-enabled solutions (including our proprietary ICF Fathom AI platform) and other technology-based offerings, we may face heightened risks related to performance errors, data rights, evolving regulatory requirements, and increased client scrutiny, any of which could increase costs, delay delivery, result in disputes or liability, and harm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GOVERNMENT CONTRACTS BUSINESS</w:t>
      </w:r>
    </w:p>
    <w:p>
      <w:pPr>
        <w:spacing w:after="0" w:line="11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Maintaining our client relationships and professional reputation is critical to our ability to successfully win new contracts and renew expired contracts, and failure to do so may inhibit our ability to secure future contracts, leading to decreased revenue and other adverse effects.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client relationships and professional reputation are key factors in maintaining and growing our business, revenue, and profit levels under contracts with our clients. We continually bid for and execute new contracts, and our existing contracts regularly become subject to re-competition and expiration. If we are not able to replace the revenue from these contracts, either through follow-on contracts or new contracts for those requirements or for other requirements, our revenue and operating results may be adversely affected. On the expiration of a contract, we typically seek a new contract or subcontractor role relating to that client to replace the revenue generated by the expired contract. We face several risks related to these expiring contracts. The expiring contracts we service may not continue after their expiration, the client may not re-procure those requirements, re-procurement may be restricted in a way that would eliminate us from the competition (e.g., set asides for small businesses), or we may not be successful in any such re-procurements or in obtaining subcontractor roles. Any factor that diminishes client relationships and/or professional reputation with federal, state and local, and international government clients, as well as commercial clients, could make it substantially more difficult for us to compete successfully for new engagements and qualified employees. To the extent our client relationships and/or professional reputation deteriorate, our revenue and operating results could be adversely affected.</w:t>
      </w:r>
    </w:p>
    <w:p>
      <w:pPr>
        <w:spacing w:after="0" w:line="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The diversity of the services we provide, and the clients we serve, may create actual, potential, and perceived conflicts of interest and business conflicts that limit our growth and could lead to potential liabilities for us.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Because we provide services to a wide array of both government and commercial clients, occasions arise where, due to actual, potential, or perceived conflicts of interest or business conflicts, we cannot perform work for which we are qualified. A number of our contracts contain limitations on the work we can perform for others, for example, when we are assisting a government agency or department in developing regulations or enforcement strategies. Actual, potential, and perceived conflicts limit the work we can do and, consequently, can limit our opportunity for growth and adversely affect our operating results. In addition, if we fail to address actual or potential conflicts properly, or even if we simply fail to recognize a perceived conflict, we may be in violation of our existing contracts, may otherwise incur liability, may lose future business for not preventing the conflict from arising, and our reputation may suffer. Particularly as we continue to grow our commercial business, we anticipate that conflicts of interest and business conflicts will pose a greater risk.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derive significant revenue and profit from contracts awarded through a competitive bidding process, which can impose substantial costs on us, and we will lose revenue and profit if we fail to compete effectively.</w:t>
      </w:r>
    </w:p>
    <w:p>
      <w:pPr>
        <w:spacing w:after="0" w:line="5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derive significant revenue and profit from contracts that are awarded through competitive bidding processes. Competitive bidding imposes substantial costs and presents a number of risks, including the:</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 and managerial time and effort that we spend to prepare bids and proposals;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estimate accurately the resources and costs that will be required to service any contracts we are awarded, sometimes in advance of the final determination of their full scope;</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delay that may arise if our competitors protest or challenge awards made to us pursuant to competitive bidding, as discussed elsewhere;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cost of not bidding on and winning other contracts we may have otherwise pursued.</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the extent we engage in competitive bidding and are unable to win particular contracts, we not only incur substantial costs in the bidding process that negatively affect our operating results, but we may lose the opportunity to operate in the market for the services provided under those contracts for a number of years. Even if we win a particular contract through competitive bidding, our profit margins may be depressed, or we may even suffer losses as a result of the costs incurred through the bidding process and the need to lower our prices to overcome competition.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reliance on GSA Schedule and other IDIQ contracts creates the risk of volatility in our revenue and profit levels.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one of the elements of our success is our position as a prime contractor under GSA Schedule contracts and other IDIQ contracts, and we believe this position is important to our ability to sell our services to federal government clients. However, these contract vehicles require us to compete for each delivery order and task order, rather than having a more predictable stream of activity during the term of a multi-year contract. In addition, we may spend considerable cost and managerial time and effort preparing bids and proposals for contracts, delivery orders or task orders that we may not win. We may be unable to continue to obtain revenue from such contracts at current levels, or in any amount, in the future. To the extent that federal government agencies and departments choose to employ GSA Schedule contracts and other IDIQ contracts encompassing activities for which we are not able to compete or provide services, we could lose business, which would negatively affect our revenue and profitability. There may also be changes in the manner in which the GSA approaches procurement under the various GSA Schedule contract vehicles and other IDIQ contracts that may impact our ability to pursue and obtain awards of new or recompete opportunities. Further, efforts to streamline procurement or reduce spending may cause agencies to delay, reduce, or cancel planned task orders (or shift work to other contract vehicles), increase the use of more price-competitive procurement approaches at the task-order level, or increase compliance and reporting requirements, which could reduce our revenue, compress margins, and increase our costs.</w:t>
      </w:r>
    </w:p>
    <w:p>
      <w:pPr>
        <w:spacing w:after="0" w:line="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may not receive revenue corresponding to the full amount of our backlog, or may receive it later than we expect, which could adversely affect our revenue and operating results.</w:t>
      </w:r>
    </w:p>
    <w:p>
      <w:pPr>
        <w:spacing w:after="0" w:line="51"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The calculation of backlog is conditioned on numerous uncertainties and estimates, and we may, in fact, fail to receive the amounts we have included in our backlog. Our assessment of a contract’s potential value is based on factors such as the amount of revenue we have recently recognized on that contract under the assumption that future utilization will be similar, historical trends and our experience in utilizing contract capacity on similar types of contracts, and our professional judgment. In the case of contracts that may be renewed at the option of the client, we generally calculate backlog by assuming that the client will exercise all of its renewal options; however, the client may elect not to do so. In addition, federal government contracts rely on Congressional appropriation of funding, which is typically provided on an incremental basis at any point during the term of federal government contracts, and all or some of the work to be performed under a contract may require future appropriations by Congress and the subsequent allocation of funding by the procuring agency or department to the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Protests of contracts continue to be common in our industry. We do not include contract awards that are subject to a pending protest in our calculation of backlog. If a contract previously included in backlog becomes the subject of a protest, we would adjust backlog to remove that amount and reassess following resolution of the protest.</w:t>
      </w:r>
    </w:p>
    <w:p>
      <w:pPr>
        <w:spacing w:after="0" w:line="68"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8"/>
          <w:szCs w:val="18"/>
          <w:color w:val="auto"/>
        </w:rPr>
        <w:t>Our estimate of the portion of backlog that we expect to recognize as revenue in any future period may differ from actual results because the receipt and timing of this revenue often depends on subsequent appropriation and allocation of funding and is subject to various contingencies, such as timing of task orders and delivery orders, many of which are beyond our control. In addition, we may never receive revenue from some of the engagements that are included in our backlog, and this risk is greater with respect to unfunded backlog. We adjust our backlog to reflect modifications to or renewals of existing contracts, awards of new contracts, or approvals of expenditures; however, if we subsequently fail to realize revenue corresponding to our backlog, our revenue and operating results could be adversely affected.</w:t>
      </w:r>
    </w:p>
    <w:p>
      <w:pPr>
        <w:spacing w:after="0" w:line="7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contracts may contain provisions that are unfavorable to us and permit our clients to, among other things, terminate our contracts partially or completely at any time prior to completion.</w:t>
      </w:r>
    </w:p>
    <w:p>
      <w:pPr>
        <w:spacing w:after="0" w:line="51" w:lineRule="exact"/>
        <w:rPr>
          <w:sz w:val="20"/>
          <w:szCs w:val="20"/>
          <w:color w:val="auto"/>
        </w:rPr>
      </w:pPr>
    </w:p>
    <w:p>
      <w:pPr>
        <w:ind w:firstLine="464"/>
        <w:spacing w:after="0" w:line="254" w:lineRule="auto"/>
        <w:rPr>
          <w:sz w:val="20"/>
          <w:szCs w:val="20"/>
          <w:color w:val="auto"/>
        </w:rPr>
      </w:pPr>
      <w:r>
        <w:rPr>
          <w:rFonts w:ascii="Times New Roman" w:cs="Times New Roman" w:eastAsia="Times New Roman" w:hAnsi="Times New Roman"/>
          <w:sz w:val="18"/>
          <w:szCs w:val="18"/>
          <w:color w:val="auto"/>
        </w:rPr>
        <w:t>Certain contracts contain provisions that allow our clients to terminate or modify these contracts at their convenience on short notice. When a client terminates one of our contracts for convenience, we will only bill the client for work completed prior to the termination, plus any commitments and settlement expenses that we may claim and the client agrees to pay, but not for any work not yet performed. In addition, many of our government contracts and task and delivery orders are incrementally funded as appropriated funds become available. The reduction or elimination of such funding can result in contract options not being exercised and further work on existing contracts and orders being curtailed. In any such event, we would have no right to seek lost fees or other damages. Certain contracts with international government clients may have more severe and/or different contract clauses than what we are accustomed to with federal and state and local government clients, such as penalties for any delay in performance. We have experienced clients terminating contracts on short notices, declining to exercise options under, and/or curtailing further performance under one or more of our major contracts, and additional actions could adversely affect our revenue and operating results.</w:t>
      </w:r>
    </w:p>
    <w:p>
      <w:pPr>
        <w:spacing w:after="0" w:line="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relationships with other contractors are important to our business and, if disrupted, could cause us reputational damage or result in contract termination or other adverse effects on our business.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derive a portion of our revenue from contracts under which we act as a subcontractor or from “teaming” arrangements in which we and other contractors jointly bid on particular contracts, projects, or programs. As a subcontractor or team member, we often lack control over fulfillment of a contract. Poor performance on the contract, whether resulting from our performance or the performance of another contractor, could tarnish our reputation, result in a reduction of the amount of our work under, or termination of, that contract or other contracts, and cause us to not obtain future work, even when we perform as required. Moreover, our revenue, profit, and operating results could be adversely affected if any prime contractor or teammate does not pay our invoices in a timely fashion, chooses to offer products or services of the type that we provide, teams with other companies to provide such products or services, or otherwise reduces its reliance upon us for such products or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PROFITABILITY RISKS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accurately estimate or control our costs on our fixed price contracts may result in a decrease of our operating margins, and in some cases result in contract losses.</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described elsewhere in this Form 10-K, we have three principal types of contracts with our clients: fixed-price, time-and-materials, and cost-based. We derived 50%, 46%, and 45% of our total revenue from fixed-price contracts in 2025, 2024, and 2023, respectively. The percentage of work we perform on a fixed-price basis may increase in the future based on changes to the procurement approach of our clients. Under fixed-price contracts, we receive a fixed price irrespective of the actual costs we incur and, consequently, we realize a profit on fixed-price contracts only if we can control our costs and prevent cost overruns while meeting our contractual obligations.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Revenue recognition on fixed-price contracts requires us to make cost and scheduling estimates based on a number of assumptions, including assumptions about availability of labor, equipment, materials, change in contractual scope, and future economic conditions, among others. Estimates are inherently subjective and often change, and we may experience contract cost overruns as a result of ambiguities in contract specifications, our inability to meet service-level agreements, inflationary pressures, high demand for skilled labor, unanticipated technical problems, difficulties in obtaining permits or approvals, changes in local laws or labor conditions, weather delays, inability of our vendors or subcontractors to perform, or for other reasons. Contract cost overruns that are not reimbursed by our customers would result in a loss for that project and, if the project is significant or if multiple projects are impacted, such aggregate overruns may have a material adverse impact on our business and earnings.</w:t>
      </w:r>
    </w:p>
    <w:p>
      <w:pPr>
        <w:spacing w:after="0" w:line="7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Certain lines of business of our commercial work depend on certain sectors of the global economy that are highly cyclical, which can lead to substantial variations in our revenue and profit from period to period.</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commercial clients, which include clients outside the U.S., generated approximately 33%, 25%, and 24% of our revenue in 2025, 2024, and 2023, respectively. This reliance on commercial clients presents certain risks and challenges. For example, our commercial work is heavily concentrated in industries which can be cyclical, such as air transportation and environmental services. Demand for our services from our commercial clients has historically declined when their industries have experienced downturns, and we expect a decline in demand for our services when these industries or their customer bases experience downturns in the future.</w:t>
      </w:r>
    </w:p>
    <w:p>
      <w:pPr>
        <w:spacing w:after="0" w:line="7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efforts to become involved in engagements that are greater in terms of size, scope, and performance demands may result in increased performance and credit risk.</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we expand our national and global footprint, we may become involved in a greater number of engagements that will be larger in size, scope and complexity. The increase in the size, scope, and complexity of these engagements subjects us to the potential for a larger impact of performance risk associated with larger and more challenging engagements and the credit risk associated with certain larger customers, particularly among our commercial non-U.S. government and non-federal U.S. government clients. Our customers may face unexpected circumstances that adversely impact their ability to pay their trade payables to us and we may face unexpected borrowing needs or losses as a result. Such circumstances could lead to our commercial customers filing for bankruptcy. This can ultimately lead to variations in our profit from period to period.</w:t>
      </w:r>
    </w:p>
    <w:p>
      <w:pPr>
        <w:spacing w:after="0" w:line="7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could be adversely affected by delays caused by our competitors protesting contract awards received by us, which could stop our work. Likewise, we may protest the contracts awarded to some of our competitors, a process that takes the time and energy of our management and may result in additional legal and consultant costs.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Due in part to the competitive bidding process under which government contracts are awarded, we are at risk of incurring expenses and delays if one or more of our competitors protest contracts awarded to us. Contract protests remain common in our industry and may result in a requirement to resubmit offers for the protested contract or in the termination, reduction, or modification of the awarded contract. It can take many months to resolve contract protests and, in the interim, the contracting government agency or department may suspend our performance under the contract pending the outcome of the protest. Even if we prevail in defending the contract award, the resulting delay in the startup and funding of the work under these contracts may adversely affect our operating results.</w:t>
      </w:r>
    </w:p>
    <w:p>
      <w:pPr>
        <w:spacing w:after="0" w:line="7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Moreover, in order to protect our competitive position, we may protest the contract awards of our competitors. This process takes the time and energy of our executives and employees, is likely to divert management’s attention from other important matters, and could cause us to incur additional legal and consultant costs.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RISKS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various routine and non-routine governmental and other reviews, audits, and investigations and unfavorable results could force us to adjust previously reported operating results, affect future operating results, and subject us to a variety of penalties and sanctions.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Government departments and agencies we work for, including non-U.S., U.S. federal, and many state and local government clients, review, audit, and investigate our contract performance, pricing practices, cost structure, financial capability, and compliance with applicable laws, rules, and regulations. We have experienced growth in services related to disaster recovery in recent years, and those activities, by their nature, may become politicized and involve interaction with multiple tiers of national, state, territorial, and local governments, subcontractors, and citizens that increase the risk of claims, audits, investigations, reviews, monitoring, and litigation. Any of these reviews, audits and investigations could raise issues that have significant adverse effects, including, but not limited to, delayed payments, substantial adjustments to our previously reported operating results and substantial effects on future operating results. If a government review, audit, or investigation uncovers improper or illegal activities, we may be subject to civil and criminal penalties and administrative sanctions, including termination of contracts, repayment of amounts already received under contracts, forfeiture of profits, suspension of payments, fines, and suspension or debarment from doing business with government agencies and departments, any of which could adversely affect our reputation, our revenue, our operating results, and/or the value of our stock. In addition, we could suffer serious harm to our reputation and our stock price could decline if allegations of impropriety are made against us, whether true or not.</w:t>
      </w:r>
    </w:p>
    <w:p>
      <w:pPr>
        <w:spacing w:after="0" w:line="8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Federal government audits have been completed on our incurred contract costs only through 2022 and 2023 for our NIH-cognizant indirect rates and through 2015 for our USAID-cognizant indirect rates, but audits for costs incurred on work performed since then have not yet been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CYBERSECURITY, TECHNOLOGY, AND DATA PROTECTION RISKS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face continuous and evolving cybersecurity risks, including disruptions in critical systems, security breaches, and the unauthorized access to our and our clients’ systems, any of which may harm our reputation, impose unexpected remediation costs, and expose us to potential liability.</w:t>
      </w:r>
    </w:p>
    <w:p>
      <w:pPr>
        <w:spacing w:after="0" w:line="6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continued occurrence of high-profile data breaches of other companies provides evidence of an external environment hostile to information security. In particular, cybersecurity attacks are increasing in number and sophistication for the Company.</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face a constant risk of cybersecurity threats, whether from (i) deliberate attacks or unintentional events, including computer viruses, attacks by computer hackers, malicious code, cyber and phishing attacks, (ii) other electronic security breaches such as unauthorized access to our and our clients’ systems, and (iii) emerging technologies, including AI, which pose increasingly harder-to-detect threats. Any of these could lead to disruptions in critical systems, unauthorized releases of confidential or otherwise protected information, and/or corruption of data. The so-called “insider threat,” the introduction of unauthorized data and changes into systems by employees and contractors, is an increasingly present risk to be managed.</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a federal government contractor, we face a heightened risk of a security breach or disruption with respect to personally identifiable, controlled unclassified information, classified information, or otherwise protected data resulting from an attack by computer hackers, foreign governments, and/or cyber terrorists. Improper disclosure of this information could harm our reputation and affect our relationships with business partners, lead to legal exposure, or subject us to liability under laws, rules, and regulations that protect personal or other confidential data, resulting in increased costs or loss of revenue.</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been the target of cyberattacks in the past and expect to continue to be a target in the future. As these security threats continue to evolve, including through the development and use of AI and other advanced machine learning, we may be required to devote additional resources to protect against, prevent, detect, and respond to cybersecurity attacks, system disruptions, and security breaches. Moreover, we also rely in part on third-party software and IT vendors to run our information systems. Any failure of these third-party systems, which are outside of our control but still impact us, could have similar adverse effects.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8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Impermissible use, misuse, or an improper disclosure of personal data or confidential information and breaches of, or disruptions to, our IT systems or those of our third-party providers, could adversely affect our business and could result in liability and harm to our reputation.</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vendors process increasingly large amounts of sensitive personal data (collectively, “Personal Data”) concerning our existing and potential employees, clients, client customers, vendors, or other third parties (collectively, “Data Subjects”), as well as handle confidential information on our clients’ behalf. Therefore, we must ensure that we, as well as our vendors, can comply and demonstrate compliance with the various countries’ and U.S. states’ privacy and data protection laws, rules, and regulations (collectively, “Privacy and Data Protection Laws”) in any location where we or our vendors process Data Subjects’ Personal Data. Privacy and Data Protection Laws often vary significantly, and the changes to existing laws and adoption of new, more rigorous laws occurs on an increasing basis. For example, the European Union’s (“E.U.”) General Data Protection Regulation (“GDPR”) requires us to meet stringent requirements regarding (i) our access, use, disclosure, transfer, protection, or other processing of Personal Data; and (ii) the ability of Data Subjects to exercise their related various rights such as to access, correct, or delete their Personal Data. The 2018 California Consumer Privacy Act (“CCPA”), which went into effect January 2020, imposes similar requirements. Over the last several years, many states have enacted new privacy laws, including Delaware, New Jersey, Maryland, New Hampshire, Tennessee, Minnesota, California, Colorado, and Virginia. More are likely to follow. Several privacy bills have also been introduced in Congress. Key markets in the Asia-Pacific region have also recently adopted GDPR-like legislation, including China’s new Personal Information Protection Law. Failure to meet Privacy and Data Protection Law requirements could result in significant civil penalties (including fines up to 4% of annual worldwide revenue under the GDPR) as well as criminal penalties. Privacy and Data Protection Law requirements also confer a private right of action in some countries, including under the GDPR. We may incur substantial costs associated with protecting Personal Data and maintaining compliance with the various Privacy and Data Protection Laws, including restrictions on international data transfers, particularly in light of the increasing scrutiny by supervisory authorities. These costs could adversely affect our results of operations. In addition, any inability, real or perceived, to adequately address privacy and data protection concerns, or to comply with applicable Privacy and Data Protection Laws, policies, industry standards, or contractual obligations could result in additional cost and liability to us, damage our reputation, negatively impact our ability to win new contracts or process Personal Data in certain geolocations, and otherwise adversely affect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Systems and/or service failures could interrupt our operations, leading to reduced revenue and profit.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interruption in our operations or any systems failures, including, but not limited to: (i) the inability of our staff to perform their work in a timely fashion, whether caused by limited access to and/or closure of our and/or our clients’ offices or otherwise; (ii) the failure of network, software, and/or hardware systems; and (iii) other interruptions and failures, whether caused by us, a third-party service provider, unauthorized intruders/ hackers, computer viruses, the use of emerging technologies such as AI, natural disasters or extreme weather events, power shortages, terrorist attacks, or otherwise, could cause loss of data and interruptions or delays in our business or that of our clients, or both. In addition, the failure or disruption of mail, communications and/or utilities could cause an interruption or suspension of our operations or otherwise harm our reputation or business. Our property and business interruption insurance may be inadequate to compensate us for all losses that may occur as a result of any system or operational failure or disruption and, as a result, revenue, profits, and operating results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intellectual property and our failure to protect it could harm our competitive position.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internally developed technology and models, proprietary processes, and other intellectual property that we incorporate in our products and utilize to provide our services. If we fail to protect our intellectual property, our competitors could market services or products similar to our services and products, which could reduce demand for our offerings. Government clients typically retain a perpetual, worldwide, royalty-free right to use the intellectual property we develop for them in a manner defined within government regulations, including providing it to other government agencies or departments, as well as to our competitors in connection with their performance of government contracts. When necessary, we seek authorization to use intellectual property developed for the government or to secure export authorization. Government clients may grant us the right to commercialize software developed with government funding, but they are not required to do so. If we improperly use intellectual property that was even partially funded by government clients, these clients could seek damages and royalties from us, sanction us, and prevent us from working on future government contracts. Actions could also be taken against us if we improperly use intellectual property belonging to others besides our government clients. In addition, there can be substantial costs associated with protecting our intellectual property, which can also have an adverse effect on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ACQUISITIONS</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When we undertake acquisitions, they may present integration challenges, fail to perform as expected, increase our liabilities, and/or reduce our earnings.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our growth strategies is to make strategic acquisitions. When we complete acquisitions, it may be challenging and costly to integrate the acquired businesses due to operating and integrating new accounting systems, differences in the locations of personnel and facilities, differences in corporate cultures, disparate business models, or other reasons. If we are unable to successfully integrate acquired companies, our revenue and operating results could suffer. In addition, we may not successfully achieve the anticipated cost efficiencies and synergies from these acquisitions. Also, our costs for managerial, operational, financial, and administrative systems may increase and be higher than anticipated. During and following the integration of an acquired business, we may experience attrition, including losing key employees and/or clients of the acquired business, which could adversely affect our future revenue and operating results and prevent us from achieving the anticipated benefits of the acquisition.</w:t>
      </w:r>
    </w:p>
    <w:p>
      <w:pPr>
        <w:spacing w:after="0" w:line="8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businesses we acquire may have liabilities or adverse operating issues, or both, that we either fail to discover through due diligence or underestimate prior to the consummation of the acquisition. These liabilities and/or issues may include the acquired business’ failure to comply with, or other violations of, applicable laws, rules, or regulations or contractual or other obligations or liabilities. As the successor owner, we may be financially responsible for and may suffer harm to our reputation or otherwise be adversely affected by such liabilities and/or issues. An acquired business also may have problems with internal controls over financial reporting, which could in turn cause us to have material deficiencies or material weaknesses in our own internal controls over financial reporting. These and any other costs, liabilities, issues, and/or disruptions associated with any past or future acquisitions, and the related integration, could harm our operating results.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a result of our acquisitions, we have substantial amounts of goodwill and intangible assets, and changes in business conditions could cause these assets to become impaired, requiring write-downs that would adversely affect our operating results.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All of our acquisitions have involved purchase prices in excess of tangible asset values net of liabilities assumed, resulting in the creation of an increased amount of goodwill and other intangible assets. As of December 31, 2025, goodwill and purchased intangibles accounted for approximately 61% and 4%, respectively, of our total assets. Under U.S. generally accepted accounting principles, we do not amortize goodwill acquired in a purchase business combination. We evaluate the recoverability of recorded goodwill annually, as well as when events or circumstances indicate there may be an impairment or if we have a material change in reporting units. We have to date determined that goodwill has not been impaired; however, future events or changes in circumstances that result in an impairment of goodwill or intangible assets would have a negative impact on our profitability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AND CAPITAL STRUCTURE</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Provisions of our charter documents and Delaware law may prevent or deter potential acquisition bids to acquire us and other actions that stockholders may consider favorable, and the market price of our common stock may be lower as a result.</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contain the following provisions that could have an anti-takeover effect:</w:t>
      </w:r>
    </w:p>
    <w:p>
      <w:pPr>
        <w:spacing w:after="0" w:line="117" w:lineRule="exact"/>
        <w:rPr>
          <w:sz w:val="20"/>
          <w:szCs w:val="20"/>
          <w:color w:val="auto"/>
        </w:rPr>
      </w:pPr>
    </w:p>
    <w:p>
      <w:pPr>
        <w:ind w:left="1020" w:right="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(the “Board”) is divided into three classes, making it more difficult for stockholders to change the composition of the Board;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not permitted to call a special meeting of the stockholders;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stockholder actions are required to be taken by a vote of the stockholders at an annual or special meeting or by a written consent signed by all of our stockholders;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required to comply with advance notice procedures to nominate candidates for election to our Board or to place stockholders’ proposals on the agenda for consideration at stockholder meetings;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capital stock representing at least two-thirds of our voting power is required to amend our indemnification obligations, director classifications, stockholder proposal requirements, and director candidate nomination requirements set forth in our amended and restated certificate of incorporation and amended and restated bylaws.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These provisions could discourage potential acquisition proposals; delay or prevent a change-in-control transaction; discourage others from making tender offers for our common stock; and/or prevent changes in our management.</w:t>
      </w:r>
    </w:p>
    <w:p>
      <w:pPr>
        <w:spacing w:after="0" w:line="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outstanding and future indebtedness could reduce our profitability, limit our ability to pursue certain business opportunities, and reduce the value of our stock.</w:t>
      </w:r>
    </w:p>
    <w:p>
      <w:pPr>
        <w:spacing w:after="0" w:line="6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our discretion, we borrow funds from our credit facility (the “Credit Facility”) under a credit agreement with a group of lenders. As of December 31, 2025, we had an aggregate of $401.4 million of outstanding indebtedness (net of unamortized debt issuance costs) that will mature on May 6, 2027. Subject to the limits contained in the agreements governing our Credit Facility, we may incur additional debt in the future to fund our ongoing operations as well as acquisitions. Our ability to pay interest and repay the principal for our indebtedness from time to time, as well as meet our financial and operating covenant requirements, is dependent upon our ability to, among other things, manage our business operations, and generate sufficient cash flows to service such debt. If we are unable to comply with the terms of our financing agreements or obtain additional required financing, this could ultimately result in a material adverse effect on our financial results and the value of our stock. Among other things, our debt could:</w:t>
      </w:r>
    </w:p>
    <w:p>
      <w:pPr>
        <w:spacing w:after="0" w:line="8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to obtain additional financing for working capital, capital expenditures, acquisitions, or other general corporate purposes;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 substantial portion of our cash flows from operations being dedicated to the payment of the principal and interest on our debt, as well as used to make debt service payments;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and reacting to, changes in our business and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relative to other less leveraged firms;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economic downturns and rises in interest rates.</w:t>
      </w:r>
    </w:p>
    <w:p>
      <w:pPr>
        <w:spacing w:after="0" w:line="11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these or other unforeseen consequences arise, they could have an adverse effect on our business, financial condition, results of operations, future business opportunities and/or ability to satisfy our obligations under our debt.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7" w:name="page28"/>
    <w:bookmarkEnd w:id="2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pay special or regular dividends on our stock in the future.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Board has authorized, declared and paid regular dividends each quarter since 2018. The declaration of any future dividends and the establishment of the per share amount, record dates and payment dates for any such future dividends are subject to the discretion of the Board taking into account future earnings, cash flows, net income, dividend yield and other factors. Authorization of dividends by the Board is subject to adherence/compliance with our Credit Facility. The Board may, upon taking into consideration any of the foregoing or other relevant factors, decide to reduce the amount of, or not declare,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Failure to identify, hire, train, and retain talented employees who are committed to our mission and vision could have a negative effect on our reputation and our business.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business, which entails the provision of professional services to government and commercial clients, largely depends on our ability to attract and retain qualified employees who are often in demand. Additionally, as our business continues to evolve, as we acquire new businesses, and as we provide a wider range of services, we become increasingly dependent on the capabilities of our employees in order to meet the needs of our diverse client base. If we are unable to recruit and retain a sufficient number of qualified employees that are committed to our mission and vision, we may incur higher costs related to an increase in subcontractors, hiring, training, and retention.</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rely on key senior members of management. As a result, effective succession planning is important to our long-term success. Failure to ensure effective transfer of knowledge and smooth transitions involving these key employees could hinder our strategic planning and execution as well as impair our ability to effectively serve our clients and maintain and grow our business. Such developments could adversely affect our future revenue and operating results.</w:t>
      </w:r>
    </w:p>
    <w:p>
      <w:pPr>
        <w:spacing w:after="0" w:line="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Changes to U.S. tax laws may adversely affect our financial condition or results of operation and create the risk that we may need to adjust our accounting for these changes.</w:t>
      </w:r>
    </w:p>
    <w:p>
      <w:pPr>
        <w:spacing w:after="0" w:line="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U.S. and in certain foreign jurisdictions in which we operate, and any changes to income tax laws and rules and regulations could adversely affect our business and our results of operations.</w:t>
      </w:r>
    </w:p>
    <w:p>
      <w:pPr>
        <w:spacing w:after="0" w:line="5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comply with complex laws, rules, and regulations could cause us to lose business and subject us to a variety of penalties and sanctions.</w:t>
      </w:r>
    </w:p>
    <w:p>
      <w:pPr>
        <w:spacing w:after="0" w:line="5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We must comply with laws, rules, and regulations that affect how we do business with our government clients and impose added costs on our business. Each government client has its own laws, rules, and regulations that affect its contracts. Some of the more significant laws and regulations affecting the formation, administration, and performance of U.S. government contracts include:</w:t>
      </w:r>
    </w:p>
    <w:p>
      <w:pPr>
        <w:spacing w:after="0" w:line="68" w:lineRule="exact"/>
        <w:rPr>
          <w:sz w:val="20"/>
          <w:szCs w:val="20"/>
          <w:color w:val="auto"/>
        </w:rPr>
      </w:pPr>
    </w:p>
    <w:p>
      <w:pPr>
        <w:ind w:left="1020" w:right="7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Acquisition Regulation, as well as Cost Accounting Standards, and agency and department regulations analogous or supplemental to federal regulation;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Truthful Cost or Pricing Data Act (formerly known as the Truth in Negotiations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Procurement Integrity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Civil False Claims Act and the False Statements Act; and</w:t>
      </w:r>
    </w:p>
    <w:p>
      <w:pPr>
        <w:spacing w:after="0" w:line="117" w:lineRule="exact"/>
        <w:rPr>
          <w:rFonts w:ascii="Times New Roman" w:cs="Times New Roman" w:eastAsia="Times New Roman" w:hAnsi="Times New Roman"/>
          <w:sz w:val="18"/>
          <w:szCs w:val="18"/>
          <w:color w:val="auto"/>
        </w:rPr>
      </w:pPr>
    </w:p>
    <w:p>
      <w:pPr>
        <w:jc w:val="both"/>
        <w:ind w:left="1020" w:right="2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laws, rules, and regulations restricting (i) the use and dissemination of information classified for national security purposes, (ii) the exportation of specified products, technologies, and technical data, and (iii) the use and dissemination of sensitive but unclassified data.</w:t>
      </w:r>
    </w:p>
    <w:p>
      <w:pPr>
        <w:spacing w:after="0" w:line="3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8" w:name="page29"/>
    <w:bookmarkEnd w:id="28"/>
    <w:p>
      <w:pPr>
        <w:spacing w:after="0" w:line="8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failure to comply with applicable federal, and/or state and local government laws, rules, and regulations could subject us to civil and criminal penalties and administrative sanctions, including termination of contracts, repayment of amounts already received under contracts, forfeiture of profits, suspension of payments, fines, and suspension or debarment from doing business with federal and/or state and local government agencies and departments, any of which could adversely affect our reputation, our revenue, our operating results, and/or the value of our stock.</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federal government and other governments with which we do business may change their procurement practices or requirements, or adopt new contracting laws, rules, or regulations that could (i) be costly to satisfy, (ii) impair our ability to obtain new contracts and reduce our revenue and profit (such as by curtailing the use of services firms or increasing the use of firms with a “preferred status,” such as small businesses), or (iii) impose restrictions or prohibitions on us which may impact our business or our ability to return capital to our shareholders (such as through dividends, share repurchases, or other similar actions).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U.S. operations, we also have a significant presence in key markets outside the U.S., including offices in the U.K., Belgium, Spain, India, and Canada. Failure to abide by laws, rules, and regulations applicable to us because of our work outside the U.S., such as the U.K. Bribery Act 2010 and the GDPR, could have similar effects to those described above.</w:t>
      </w:r>
    </w:p>
    <w:p>
      <w:pPr>
        <w:spacing w:after="0" w:line="6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Our international operations pose additional risks to our profitability and operating results, including political instability across many of the jurisdictions in which we operate, restrictions on the repatriation of funds, expropriation or nationalization of our assets, and currency exchange rate fluctuations.</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offices in the U.K., Belgium, Spain, India, and Canada, among others, and expect to continue to have international operations and offices, some of which are in economically developing countries that do not have a well-established business infrastructure. We also perform work in some countries where we do not have a physical office. Some of the countries in which we work have a history of political instability or may expose our employees and subcontractors to physical danger. Expansion into selective new geographic regions requires considerable management and financial resources, the expenditure of which may negatively impact our results, and we may never see any return on our investment.</w:t>
      </w:r>
    </w:p>
    <w:p>
      <w:pPr>
        <w:spacing w:after="0" w:line="75"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international operations are subject to risks associated with operating in, and selling to and in, countries other than the U.S., that could, directly or indirectly, adversely affect our international and domestic operations and our overall revenue, profit, and operating results including, but not limited to:</w:t>
      </w:r>
    </w:p>
    <w:p>
      <w:pPr>
        <w:spacing w:after="0" w:line="54" w:lineRule="exact"/>
        <w:rPr>
          <w:sz w:val="20"/>
          <w:szCs w:val="20"/>
          <w:color w:val="auto"/>
        </w:rPr>
      </w:pPr>
    </w:p>
    <w:p>
      <w:pPr>
        <w:jc w:val="both"/>
        <w:ind w:left="1020" w:right="2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laws, rules, regulations, policies, legal standards, and enforcement mechanisms of the U.S. and the other countries in which we operate, including bribery and anti-corruption laws, economic sanctions, trade restrictions, local tax and income laws, and local labor and employment laws, which are sometimes inconsistent;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to repatriate profits to the U.S. or otherwise move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personal injury to personnel who may be exposed to military conflicts and other hostile situations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Expropriation and nationalization of our assets or those of our subcontractors, and other inabilities to protect our property rights; and/or</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such operations, including obtaining work permits or visas, identifying qualified local employees, operating according to different local labor laws and regulations, dealing with different local business cultures and practices, and collecting contract receivables.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of our work with international clients, certain of our revenues and costs are denominated in other currencies, then translated to U.S. dollars for financial reporting purposes. Our revenues and profits may decrease as a result of currency fluctuations and devaluations and limitations on the conversion of foreign currencies into U.S. dollars and in the conversion between foreign currencies. We may, from time to time, have forward contract agreements (the “hedges”) related to our operations in the U.K. to hedge the remeasurement between the Euro and the pound sterling. We recognize the changes in the fair value of the economic hedges in our results of operations. These hedges may not be successful in reducing our exposure to foreign currency fluctuations and, in fact, the hedges may adversely affect our operating results.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operations are also subject to risks related to international trade. International trade disputes and general tensions arising from recent changes in international trade policies, including the United States’ actual and threatened imposition of new and increased tariffs against the U.K, the E.U., Canada, and other countries and such countries’ responses, have contributed to general economic uncertainty and disruptions to the U.S. and global economies. Tariffs and other trade restrictions could cause our clients to pause spending on discretionary projects, impact global supply chains, exacerbate inflationary pressures, or negatively affect credit markets. As a result, we may experience increased costs that we may be unable to pass onto our clients, a reduction in the demand for our services, and harm to our pricing leverage and ability to renegotiate long-term contracts, all or any of which may damage our reputation, reduce our profits, or otherwise adversely affect our financial condition.</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Presently, there is active armed conflict across the territory of Ukraine as a result of a Russian invasion. The war has impacted member states of the E.U. in a variety of ways, including through their provision of weapons, humanitarian supplies, and substantial financial support to Ukraine, and their absorption of millions of Ukrainian refugees. While no E.U. member states have become active participants in the conflict, a number of them have greatly increased their defense preparations and investments, reflecting a wholesale shift in the security environment on the continent. It is not currently foreseen that an immediate diplomatic resolution to the conflict is likely. In such an environment, it is possible that E.U. spending priorities may shift suddenly, that our current programs could be disrupted, and that our future opportunities could be diminished.</w:t>
      </w:r>
    </w:p>
    <w:p>
      <w:pPr>
        <w:spacing w:after="0" w:line="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Health epidemics, pandemics, and similar outbreaks may have material adverse effects on our business, financial position, results of operations, and/or cash flows.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face various risks and uncertainties related to health epidemics, pandemics, and similar outbreaks. These risks relate to, among other things, the demand for our services, the availability of our staffing and business partners, a possible slowdown of client decision-making as to our services, a significant deterioration of global supply chains and other business conditions, and a possible reprioritization of spending by our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discussed in the “Item 1A. Risk Factors – Privacy, Cybersecurity, Technology, and Data Protection Risks,” we face certain ongoing risks from cybersecurity threats and recognize the critical importance of effective cybersecurity risk management in today’s interconnected digital landscape. As part of our commitment to safeguarding our operations, sensitive data, and stakeholder trust, we have implemented robust cybersecurity practices and governance.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Program</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regularly assess and identify potential cybersecurity risks that could impact our business, financial condition, or reputation. Our risk assessment process includes:</w:t>
      </w:r>
    </w:p>
    <w:p>
      <w:pPr>
        <w:spacing w:after="0" w:line="54" w:lineRule="exact"/>
        <w:rPr>
          <w:sz w:val="20"/>
          <w:szCs w:val="20"/>
          <w:color w:val="auto"/>
        </w:rPr>
      </w:pPr>
    </w:p>
    <w:p>
      <w:pPr>
        <w:ind w:left="1020" w:right="4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Risk Management: We maintain an enterprise risk management process that embeds cybersecurity within the risk assessment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 Landscape Analysis: We monitor emerging threats, vulnerabilities, and attack vectors relevant to our industry and business operations.</w:t>
      </w:r>
    </w:p>
    <w:p>
      <w:pPr>
        <w:spacing w:after="0" w:line="128" w:lineRule="exact"/>
        <w:rPr>
          <w:rFonts w:ascii="Times New Roman" w:cs="Times New Roman" w:eastAsia="Times New Roman" w:hAnsi="Times New Roman"/>
          <w:sz w:val="17"/>
          <w:szCs w:val="17"/>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Scenarios: We evaluate potential scenarios, with considerations to both internal and external threats, to understand their potential impact.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Quantification: We assess the likelihood and potential financial, operational, and reputational impact of identified risks.</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risk mitigation strategy focuses on measures to prevent, detect, and respond to cybersecurity incidents. The primary components of our risk mitigation strategy include:</w:t>
      </w:r>
    </w:p>
    <w:p>
      <w:pPr>
        <w:spacing w:after="0" w:line="54" w:lineRule="exact"/>
        <w:rPr>
          <w:sz w:val="20"/>
          <w:szCs w:val="20"/>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Controls: We maintain a comprehensive set of controls aligned with industry standards such as the National Institute of Standards and Technology (“NIST”) and the International Organization of Standards (“ISO”) 27001 to protect our systems, networks, and data.</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Incident Response Plan: We have a well-defined incident response plan that outlines roles, responsibilities, and procedures for handling cybersecurity incidents.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and Awareness: We have training programs to ensure that our employees understand their role in maintaining a secure environment and recognize potential threats.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Assessment and Management: We assess and manage cybersecurity risks associated with our vendors, partners, and service providers.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approach to information security follows a defense-in-depth methodology in which security is embedded throughout the system architecture. Technical controls rely on proven technologies, such as network-based intrusion detection systems, next generation firewalls with advanced threat detection, secure server networks, demilitarized zones, and endpoint detection and response capabilities. Security techniques, such as encryption at rest and encryption in transit, are used to incorporate relevant practices. We undergo annual third-party security assessments such as security control compliance reviews, incident response exercises, penetration testing, and red team drills to maintain the effectiveness of the security program.</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critical corporate information systems are maintained in a commercial grade data center with climate controls, fire suppression, redundant power, and several telecommunication options. The data center is designed to host mission-critical computer systems with fully redundant subsystems and compartmentalized security zones. Our primary data center also undergoes independent assessment on an annual basis. Our computing infrastructures are protected by multiple independent layers of security measures managed by the corporate information security department. Our approach to accessing protected networks is based on the principle of least privilege.</w:t>
      </w:r>
    </w:p>
    <w:p>
      <w:pPr>
        <w:spacing w:after="0" w:line="75"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vigorous approach we take to cybersecurity, we may not always be successful in preventing or mitigating a cybersecurity incident that could have a material adverse effect on us. To date, we have not identified cybersecurity risks, threats, or incidents that have materially affected us or are reasonably likely to materially affect us, including our operations, business strategy, results of operations, or financial condition.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 and Oversight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Board, directly or through its committees, is responsible for the oversight of the Company’s overall enterprise risk management program, which includes cybersecurity risks. Our Audit Committee regularly reviews and evaluates cybersecurity risks and the procedures and policies implemented by management to identify, manage, and mitigate such risks.</w:t>
      </w:r>
    </w:p>
    <w:p>
      <w:pPr>
        <w:spacing w:after="0" w:line="68"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Management is responsible for day-to-day assessment and management of cybersecurity risks. Our Chief Information Officer (the “CIO”) and the Chief Information Security Officer (the “CISO”) have primary oversight of material risks from cybersecurity threats. The CIO has over 30 years of professional experience across various engineering, business, and management roles and experience leading implementation of various IT infrastructure and systems. Our CISO has over 20 years of specific cybersecurity experience and is responsible for maintaining compliance with applicable security requirements. They have a combined tenure of several decades with the Company in various progressive management roles in information systems and technology and information security. They conduct regular meetings with the Audit Committee and the Board to communicate updates on cybersecurity risks, incidents, and mitigation efforts. The CISO and our security staff provide ongoing support to internal operations and oversight to our systems that offer services to our clients within our enterprise network. Our security staff is also augmented through an industry-recognized security operations center where systems are continuously monitored.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lease our offices and do not own any real estate. As of December 31, 2025, we leased approximately 208,274 square feet of office space at our corporate headquarters at 1902 Reston Metro Plaza, Reston, Virginia (in the Washington, D.C. metropolitan area) through May 2039 (the “Reston Office”). The Reston Office houses a portion of our operations and almost all of our corporate functions, including most of our staff within executive management, treasury, accounting, legal, human resources, business and corporate development, facilities management, information services, and contracts.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leases in place for approximately 814,808 square feet of office space in more than 60 office locations throughout the U.S. and around the world, with various lease terms expiring over the next thirteen years. We continually review our need for office space, and we believe that our current office space, as well as other future office space we expect to be able to obtain in the lease marketplace, will be sufficient to meet our office space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involved in various legal matters and proceedings arising in the ordinary course of business. While these matters and proceedings cause us to incur costs, including, but not limited to, attorneys’ fees, we currently believe that any ultimate liability arising out of these matters and proceedings will not have a material adverse effect on our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“ICFI.”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February 20, 2026, there were 22 registered holders of record of our common stock. This number is not representative of the number of beneficial holders because many of the shares are held by depositories, brokers, or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expect to continue paying dividends comparable with our historic dividend payments. The declaration and payment of any dividends is at the sole discretion of our Board and is not guaranteed. Our Credit Facility contains certain restrictions related to the payment of cash dividends, requiring us to meet certain covenants prior to and after the declaration of any dividend.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common stock from December 31, 2020 through December 31, 2025, with the cumulative total return on (i) the Nasdaq Composite, (ii) the Russell 2000 stock index, and (iii) the S&amp;P 1500 companies having GICS Code 2020 Commercial &amp; Professional Services.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3" w:name="page34"/>
    <w:bookmarkEnd w:id="33"/>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comparison below assumes an initial investment of $100.00 on December 31, 2020 in which all dividends (if any) are reinvested and all returns are market-cap weighted. The historical information set forth below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45720</wp:posOffset>
            </wp:positionV>
            <wp:extent cx="4937760" cy="4380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3776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ICF International, Inc.</w:t>
            </w:r>
          </w:p>
        </w:tc>
        <w:tc>
          <w:tcPr>
            <w:tcW w:w="128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138.79</w:t>
            </w:r>
          </w:p>
        </w:tc>
        <w:tc>
          <w:tcPr>
            <w:tcW w:w="4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134.81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183.33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163.61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117.82</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122.18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119.22</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187.14</w:t>
            </w: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114.82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91.35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106.82</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119.14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134.40</w:t>
            </w: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S&amp;P Composite 1500</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&amp;</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8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126.16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134.51</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156.69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149.33</w:t>
            </w: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the Board approved a share repurchase program to offset dilution resulting from employee stock compensation. Under the program, purchases can be made from time to time at prevailing market prices in open market purchases or in privately negotiated transactions pursuant to Rules 10b5-1 and 10b-18 under the Exchange Act, and in accordance with applicable insider trading and other securities laws and regulations. The timing and extent to which we repurchase our shares will depend upon market conditions and other corporate considerations, as may be considered in our sole discretion. The purchases will be funded from existing cash balances and/or borrowings and the repurchased shares will be held in treasury. Our Credit Facility permits annual share repurchases of at least $25.0 million provided that the Company is not in default of its covenants, and higher amounts provided that our Consolidated Leverage Ratio, prior to and after giving effect to such repurchases, is 0.50 to 1.00 less than the then-applicable maximum Consolidated Leverage Ratio and subject to a net liquidity of $100.0 million after giving effect to such purchases.</w:t>
      </w:r>
    </w:p>
    <w:p>
      <w:pPr>
        <w:spacing w:after="0" w:line="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November 14, 2024, the Board approved an increase to the share repurchase program, including purchases pursuant to Rules 10b5-1 and 10b-18, to a new limit of $300.0 million, inclusive of the prior limit of $200.0 million. During the year ended December 31, 2025, we used $55.3 million to repurchase 563,988 shares under this program at an average price of $98.08 per share. As of December 31, 2025, $94.0 million of authority remained available for share repurchases.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December 31, 2025 for our share repurchase plan and shares purchased in satisfaction of employee tax withholding obligations related to the settlement of restricted stock units.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Purchased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2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215"/>
        </w:trPr>
        <w:tc>
          <w:tcPr>
            <w:tcW w:w="26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per Share (a)</w:t>
            </w:r>
          </w:p>
        </w:tc>
        <w:tc>
          <w:tcPr>
            <w:tcW w:w="24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 (b)</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Programs (b)</w:t>
            </w:r>
          </w:p>
        </w:tc>
        <w:tc>
          <w:tcPr>
            <w:tcW w:w="120" w:type="dxa"/>
            <w:vAlign w:val="bottom"/>
          </w:tcPr>
          <w:p>
            <w:pPr>
              <w:spacing w:after="0"/>
              <w:rPr>
                <w:sz w:val="18"/>
                <w:szCs w:val="18"/>
                <w:color w:val="auto"/>
              </w:rPr>
            </w:pPr>
          </w:p>
        </w:tc>
      </w:tr>
      <w:tr>
        <w:trPr>
          <w:trHeight w:val="199"/>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October 1 – October 31</w:t>
            </w:r>
          </w:p>
        </w:tc>
        <w:tc>
          <w:tcPr>
            <w:tcW w:w="120" w:type="dxa"/>
            <w:vAlign w:val="bottom"/>
            <w:shd w:val="clear" w:color="auto" w:fill="CFF0FC"/>
          </w:tcPr>
          <w:p>
            <w:pPr>
              <w:spacing w:after="0"/>
              <w:rPr>
                <w:sz w:val="17"/>
                <w:szCs w:val="17"/>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111,742,998</w:t>
            </w:r>
          </w:p>
        </w:tc>
        <w:tc>
          <w:tcPr>
            <w:tcW w:w="120" w:type="dxa"/>
            <w:vAlign w:val="bottom"/>
            <w:shd w:val="clear" w:color="auto" w:fill="CFF0FC"/>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November 1 – November 30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209,659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208,358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94,910,350</w:t>
            </w:r>
          </w:p>
        </w:tc>
        <w:tc>
          <w:tcPr>
            <w:tcW w:w="120" w:type="dxa"/>
            <w:vAlign w:val="bottom"/>
          </w:tcPr>
          <w:p>
            <w:pPr>
              <w:spacing w:after="0"/>
              <w:rPr>
                <w:sz w:val="17"/>
                <w:szCs w:val="17"/>
                <w:color w:val="auto"/>
              </w:rPr>
            </w:pPr>
          </w:p>
        </w:tc>
      </w:tr>
      <w:tr>
        <w:trPr>
          <w:trHeight w:val="203"/>
        </w:trPr>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December 1 – December 31</w:t>
            </w:r>
          </w:p>
        </w:tc>
        <w:tc>
          <w:tcPr>
            <w:tcW w:w="12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11,243</w:t>
            </w:r>
          </w:p>
        </w:tc>
        <w:tc>
          <w:tcPr>
            <w:tcW w:w="5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240" w:type="dxa"/>
            <w:vAlign w:val="bottom"/>
            <w:tcBorders>
              <w:bottom w:val="single" w:sz="8" w:color="CFF0FC"/>
            </w:tcBorders>
            <w:shd w:val="clear" w:color="auto" w:fill="CFF0FC"/>
          </w:tcPr>
          <w:p>
            <w:pPr>
              <w:spacing w:after="0"/>
              <w:rPr>
                <w:sz w:val="17"/>
                <w:szCs w:val="17"/>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11,243</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93,965,514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220,902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80.94</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219,601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-161925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-161925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includes any shares repurchased pursuant to our share repurchase program described further in footnote</w:t>
      </w:r>
    </w:p>
    <w:p>
      <w:pPr>
        <w:spacing w:after="0" w:line="27" w:lineRule="exact"/>
        <w:rPr>
          <w:rFonts w:ascii="Times New Roman" w:cs="Times New Roman" w:eastAsia="Times New Roman" w:hAnsi="Times New Roman"/>
          <w:sz w:val="18"/>
          <w:szCs w:val="18"/>
          <w:color w:val="auto"/>
        </w:rPr>
      </w:pPr>
    </w:p>
    <w:p>
      <w:pPr>
        <w:ind w:left="10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below, as well as shares purchased from employees to pay required withholding taxes related to the settlement of restricted stock units in accordance with our applicable long-term incentive plan. During the three months ended December 31, 2025, we repurchased 219,601 under the stock repurchase program at an average price of $80.93 and 1,301 shares of common stock from employees in satisfaction of tax withholding obligations at an average price of $82.04 per share.</w:t>
      </w:r>
    </w:p>
    <w:p>
      <w:pPr>
        <w:spacing w:after="0" w:line="80"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share repurchase program authorizes share repurchases in the aggregate up to $300.0 million. The program and the authorized amount have no expiration date. Our Credit Facility permits annual share repurchases of at least $25.0 million provided that the Company is not in default of its covenants, and higher amounts provided that our Consolidated Leverage Ratio prior to and after giving effect to such repurchases, is 0.50 to 1.00 less than the then-applicable maximum Consolidated Leverage Ratio and subject to a net liquidity of $100.00 million.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related notes included in Item 8.“Financial Statements and Supplementary Data” in this Annual Report on Form 10-K. This discussion and analysis contains forward-looking statements that involve risks, uncertainties, and assumptions, such as statements of our plans, objectives, expectations, and intentions. The cautionary statements made in this Annual Report on Form 10-K should be read as applying to all related forward-looking statements wherever they appear in this Annual Report on Form 10-K. Our actual results could differ materially from those anticipated in the forward-looking statements. Factors that could cause or contribute to our actual results differing materially from those anticipated include those discussed in Item 1A. “Risk Factors” and elsewhere in this Annual Report on Form 10-K. This section of this Annual Report on Form 10-K generally discusses 2025 and 2024 items and year-to-year comparisons between 2025 and 2024. Discussions of 2024 items and year-to-year comparisons between 2024 and 2023 that are not included in this Annual Report on Form 10-K can be found in “Management’s Discussion and Analysis of Financial Condition and Results of Operations” in Part II, Item 7 of our Annual Report on Form 10-K for the fiscal year ended December 31, 2024, which was filed with the SEC on February 28, 2025, and is incorporated by reference into this 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81" w:lineRule="exact"/>
        <w:rPr>
          <w:sz w:val="20"/>
          <w:szCs w:val="20"/>
          <w:color w:val="auto"/>
        </w:rPr>
      </w:pPr>
    </w:p>
    <w:p>
      <w:pPr>
        <w:ind w:left="80" w:right="100" w:firstLine="431"/>
        <w:spacing w:after="0" w:line="266" w:lineRule="auto"/>
        <w:rPr>
          <w:sz w:val="20"/>
          <w:szCs w:val="20"/>
          <w:color w:val="auto"/>
        </w:rPr>
      </w:pPr>
      <w:r>
        <w:rPr>
          <w:rFonts w:ascii="Times New Roman" w:cs="Times New Roman" w:eastAsia="Times New Roman" w:hAnsi="Times New Roman"/>
          <w:sz w:val="18"/>
          <w:szCs w:val="18"/>
          <w:color w:val="auto"/>
        </w:rPr>
        <w:t>We provide professional services and technology-based solutions, including management, technology, and policy consulting and implementation services. We help our clients conceive, develop, implement, and improve solutions that address complex business, natural resource, social, technological, and public safety issues. Our services primarily support clients that operate in the following key markets:</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Environment, Infrastructure, and Disaster Recovery;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Social Programs;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Other Civilian &amp; Commercial.</w:t>
      </w:r>
    </w:p>
    <w:p>
      <w:pPr>
        <w:spacing w:after="0" w:line="225" w:lineRule="exact"/>
        <w:rPr>
          <w:sz w:val="20"/>
          <w:szCs w:val="20"/>
          <w:color w:val="auto"/>
        </w:rPr>
      </w:pPr>
    </w:p>
    <w:p>
      <w:pPr>
        <w:ind w:right="400" w:firstLine="554"/>
        <w:spacing w:after="0" w:line="282" w:lineRule="auto"/>
        <w:rPr>
          <w:sz w:val="20"/>
          <w:szCs w:val="20"/>
          <w:color w:val="auto"/>
        </w:rPr>
      </w:pPr>
      <w:r>
        <w:rPr>
          <w:rFonts w:ascii="Times New Roman" w:cs="Times New Roman" w:eastAsia="Times New Roman" w:hAnsi="Times New Roman"/>
          <w:sz w:val="18"/>
          <w:szCs w:val="18"/>
          <w:color w:val="auto"/>
        </w:rPr>
        <w:t>We provide services to our diverse client base that deliver value throughout the entire life cycle of a policy, program, project, or initiative. Our primary services include:</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Implementation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Services.</w:t>
      </w:r>
    </w:p>
    <w:p>
      <w:pPr>
        <w:spacing w:after="0" w:line="76" w:lineRule="exact"/>
        <w:rPr>
          <w:sz w:val="20"/>
          <w:szCs w:val="20"/>
          <w:color w:val="auto"/>
        </w:rPr>
      </w:pPr>
    </w:p>
    <w:p>
      <w:pPr>
        <w:ind w:right="60" w:firstLine="509"/>
        <w:spacing w:after="0" w:line="245" w:lineRule="exact"/>
        <w:rPr>
          <w:sz w:val="20"/>
          <w:szCs w:val="20"/>
          <w:color w:val="auto"/>
        </w:rPr>
      </w:pPr>
      <w:r>
        <w:rPr>
          <w:rFonts w:ascii="Times New Roman" w:cs="Times New Roman" w:eastAsia="Times New Roman" w:hAnsi="Times New Roman"/>
          <w:sz w:val="18"/>
          <w:szCs w:val="18"/>
          <w:color w:val="auto"/>
        </w:rPr>
        <w:t>Our clients rely on us because we combine broad institutional knowledge with the deep subject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matter expertise of our highly trained staff, working together in multidisciplinary teams. Many of our client relationships span decades, giving us a nuanced understanding of their objectives and needs.</w:t>
      </w:r>
    </w:p>
    <w:p>
      <w:pPr>
        <w:spacing w:after="0" w:line="9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serve both government and commercial clients. Our government work includes projects for federal, state, local, and international agencies, as well as subcontracted engagements performed for commercial clients whose end customers are government entities.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largest clients are U.S. federal government departments and agencies. Our federal government clients include every cabinet-level department, most significantly HHS, DoD, DoE, and DoT. Federal government clients generated approximately 43%, 54%, and 55% of our revenue in 2025, 2024, and 2023, respectively. The decrease in U.S. federal government revenue was primarily as a result of terminated contracts in 2025 due to the Administration’s changing priorities and the actions recommended by DOGE, as well as the disruption in the typical U.S. federal government procurement cycle. State and local government clients generated approximately 17%, 16%, and 16% of our revenue in each of 2025, 2024, and 2023, respectively. International government clients generated approximately 7%, 5%, and 5% of our revenue in 2025, 2024, and 2023, respectively.</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also serve a variety of commercial clients worldwide, including: airlines, airports, electric and gas utilities, health care companies, banks and other financial services companies, transportation, non-profits/associations, manufacturing firms, retail chains, and distribution companies. Our commercial clients, which include clients outside the U.S., generated approximately 33%, 25%, and 24% of our revenue in 2025, 2024, and 2023, respectively. The increase in commercial revenue was primarily due to higher commercial energy business in 2025.</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report operating results and financial data as a single segment based on the consolidated information used by our chief operating decision-maker in evaluating the financial performance of our business and allocating resources. Our single segment represents our core business: professional services to our broad array of clients. Although we describe our multiple service offerings to clients that operate in three markets to provide a better understanding of the scope and scale of our business, we do not manage our business or allocate our resources based on those service offerings or client markets. Rather, on a project-by-project basis, we assemble the best team from throughout the enterprise to deliver highly customized solutions that are tailored to meet the needs of each client.</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that, in the long-term, demand for our services will continue to grow as government, industry, and other stakeholders seek to address critical long-term societal and natural resource issues due to heightened concerns about the environment and use of clean energy and energy efficiency; health promotion, treatment, and cost control; the means by which healthcare can be delivered effectively on a cross-jurisdiction basis; natural disaster relief and rebuild efforts; and ongoing homeland security threats. In the wake of the major hurricanes that devastated communities in Texas, Florida, North Carolina, Louisiana, the U.S. Virgin Islands, and Puerto Rico, and the impact of wildfires in Hawaii, Oregon, and southern California, the affected areas remain in various stages of evacuation, relief, and recovery efforts. We believe our prior and current experience with disaster relief and rebuild efforts, including after hurricanes Katrina and Rita and Superstorm Sandy, and the wildfires in Oregon, put us in a favorable position to continue to provide recovery and housing assistance, and environmental and infrastructure solutions, including disaster mitigation, on behalf of federal departments and agencies, state, territorial, and local jurisdictions, and regional agencies.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results of operations and cash flows may vary significantly from quarter to quarter depending on a number of factors, including, but not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of contract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economic events and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billable days in a quarter;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client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award fee notices;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scope of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purchasing patterns under our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priorities, especially with the federal government;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and local governments’ and other clients’ spending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shutdowns;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billings to, and collection of payments from, clients;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receipt of invoices from, and payments to, employees and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completion, and termination of contracts;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such as acquisitions, consolidations, divestments, spin-offs, joint ventures, strategic investments, and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significant costs and investments (such as bid and proposal costs and the costs involved in planning or making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events related to discrete tax items;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mix and use of subcontractors or the timing of other direct costs for which we may earn lower contract margin;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margin performance due to performance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and departures of, staff;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staff utilization;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taken by our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cost of our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 policies; and/or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1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Because a significant portion of our expenses (such as personnel, facilities, and related costs) are fixed in the short-term, contract performance and variation in the volume of activity, as well as in the number and volume of contracts commenced or completed during any year, may cause significant variations in operating results from year to year. We generally have been able to price our contracts in a manner that accommodates the rates of inflation experienced in recent years, although we cannot ensure that we will be able to do so in the future.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20" w:firstLine="515"/>
        <w:spacing w:after="0" w:line="282" w:lineRule="auto"/>
        <w:rPr>
          <w:sz w:val="20"/>
          <w:szCs w:val="20"/>
          <w:color w:val="auto"/>
        </w:rPr>
      </w:pPr>
      <w:r>
        <w:rPr>
          <w:rFonts w:ascii="Times New Roman" w:cs="Times New Roman" w:eastAsia="Times New Roman" w:hAnsi="Times New Roman"/>
          <w:sz w:val="18"/>
          <w:szCs w:val="18"/>
          <w:color w:val="auto"/>
        </w:rPr>
        <w:t>A key element of our growth strategy is to pursue acquisitions. During the previous three fiscal years, we completed the acquisitions summarized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CMY Solutions, LLC – In May 2023, we acquired CMY, an engineering and automation solutions provider to utilities and organizations.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Applied Energy Group – In December 2024, we acquired AEG, a leading energy technology and advisory services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121" w:lineRule="exact"/>
        <w:rPr>
          <w:sz w:val="20"/>
          <w:szCs w:val="20"/>
          <w:color w:val="auto"/>
        </w:rPr>
      </w:pPr>
    </w:p>
    <w:p>
      <w:pPr>
        <w:ind w:right="20" w:firstLine="515"/>
        <w:spacing w:after="0" w:line="258" w:lineRule="auto"/>
        <w:rPr>
          <w:sz w:val="20"/>
          <w:szCs w:val="20"/>
          <w:color w:val="auto"/>
        </w:rPr>
      </w:pPr>
      <w:r>
        <w:rPr>
          <w:rFonts w:ascii="Times New Roman" w:cs="Times New Roman" w:eastAsia="Times New Roman" w:hAnsi="Times New Roman"/>
          <w:sz w:val="18"/>
          <w:szCs w:val="18"/>
          <w:color w:val="auto"/>
        </w:rPr>
        <w:t>Our discussion of financial condition and results of operations is based on our consolidated financial statements prepared in accordance with U.S. generally accepted accounting principles (“U.S. GAAP”). The preparation of these consolidated financial statements requires us to make certain estimates, assumptions, and judgments that affect the reported amounts of assets, liabilities, revenue, and expenses. If any of these estimates, assumptions or judgments prove to be incorrect, our reported results could be materially affected. Actual results may differ significantly from our estimates under different assumptions or conditions.</w:t>
      </w:r>
    </w:p>
    <w:p>
      <w:pPr>
        <w:spacing w:after="0" w:line="75" w:lineRule="exact"/>
        <w:rPr>
          <w:sz w:val="20"/>
          <w:szCs w:val="20"/>
          <w:color w:val="auto"/>
        </w:rPr>
      </w:pPr>
    </w:p>
    <w:p>
      <w:pPr>
        <w:jc w:val="both"/>
        <w:ind w:right="120" w:firstLine="515"/>
        <w:spacing w:after="0" w:line="261" w:lineRule="auto"/>
        <w:rPr>
          <w:sz w:val="20"/>
          <w:szCs w:val="20"/>
          <w:color w:val="auto"/>
        </w:rPr>
      </w:pPr>
      <w:r>
        <w:rPr>
          <w:rFonts w:ascii="Times New Roman" w:cs="Times New Roman" w:eastAsia="Times New Roman" w:hAnsi="Times New Roman"/>
          <w:sz w:val="18"/>
          <w:szCs w:val="18"/>
          <w:color w:val="auto"/>
        </w:rPr>
        <w:t>We believe that the estimates, assumptions, and judgments involved in the accounting practices described below have the greatest potential impact on our financial statements and, therefore, consider them to be critical accounting policies. Significant accounting estimates are more fully described and discussed in “Note 2 - Summary of Significant Accounting Policies” in the “Notes to Consolidated Financial Statements”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right="360" w:firstLine="515"/>
        <w:spacing w:after="0" w:line="266" w:lineRule="auto"/>
        <w:rPr>
          <w:sz w:val="20"/>
          <w:szCs w:val="20"/>
          <w:color w:val="auto"/>
        </w:rPr>
      </w:pPr>
      <w:r>
        <w:rPr>
          <w:rFonts w:ascii="Times New Roman" w:cs="Times New Roman" w:eastAsia="Times New Roman" w:hAnsi="Times New Roman"/>
          <w:sz w:val="18"/>
          <w:szCs w:val="18"/>
          <w:color w:val="auto"/>
        </w:rPr>
        <w:t>We generate our revenue by primarily providing services and technology-based solutions for clients. We enter into agreements with clients that create enforceable rights and obligations and for which it is probable that we will collect the consideration to which we will be entitled as services and solutions are provided to the client.</w:t>
      </w:r>
    </w:p>
    <w:p>
      <w:pPr>
        <w:spacing w:after="0" w:line="68" w:lineRule="exact"/>
        <w:rPr>
          <w:sz w:val="20"/>
          <w:szCs w:val="20"/>
          <w:color w:val="auto"/>
        </w:rPr>
      </w:pPr>
    </w:p>
    <w:p>
      <w:pPr>
        <w:jc w:val="both"/>
        <w:ind w:right="60" w:firstLine="515"/>
        <w:spacing w:after="0" w:line="266" w:lineRule="auto"/>
        <w:rPr>
          <w:sz w:val="20"/>
          <w:szCs w:val="20"/>
          <w:color w:val="auto"/>
        </w:rPr>
      </w:pPr>
      <w:r>
        <w:rPr>
          <w:rFonts w:ascii="Times New Roman" w:cs="Times New Roman" w:eastAsia="Times New Roman" w:hAnsi="Times New Roman"/>
          <w:sz w:val="18"/>
          <w:szCs w:val="18"/>
          <w:color w:val="auto"/>
        </w:rPr>
        <w:t>Our contracts may be partially funded, often incrementally in annual amounts. We determine the transaction price based on the history of funding, the client’s need for the program, the length of time before funding is available, and the client’s intent and ability to fund and include the unfunded portion of the contract if it is probable that it will be funded based on these criteria.</w:t>
      </w:r>
    </w:p>
    <w:p>
      <w:pPr>
        <w:spacing w:after="0" w:line="68" w:lineRule="exact"/>
        <w:rPr>
          <w:sz w:val="20"/>
          <w:szCs w:val="20"/>
          <w:color w:val="auto"/>
        </w:rPr>
      </w:pPr>
    </w:p>
    <w:p>
      <w:pPr>
        <w:ind w:right="60" w:firstLine="515"/>
        <w:spacing w:after="0" w:line="258" w:lineRule="auto"/>
        <w:rPr>
          <w:sz w:val="20"/>
          <w:szCs w:val="20"/>
          <w:color w:val="auto"/>
        </w:rPr>
      </w:pPr>
      <w:r>
        <w:rPr>
          <w:rFonts w:ascii="Times New Roman" w:cs="Times New Roman" w:eastAsia="Times New Roman" w:hAnsi="Times New Roman"/>
          <w:sz w:val="18"/>
          <w:szCs w:val="18"/>
          <w:color w:val="auto"/>
        </w:rPr>
        <w:t>For contracts with multiple performance obligations and for customized solutions in which the pricing is based on specific negotiations with each client, we use a cost-plus margin approach to estimate the standalone selling price of each performance obligation. We generally recognize revenue over time as services and performance obligations are transferred to the client, based on the extent of progress towards satisfaction of the performance obligation. The selection of the method used to measure progress requires judgment and, among other things, is dependent on the contract type selected by the client during contract negotiation and the nature of the services and solutions to be provided.</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cost-based contracts, we recognize revenue as a single performance obligation based on contract costs incurred, as we become contractually entitled to reimbursement of the contract costs, plus a most likely estimate of award or incentive fees earned on those costs even though final determination of fees earned occurs after the contractually stipulated performance assessment period ends. For the years ended December 31, 2025, 2024, and 2023, revenue from cost-based contracts totaled $138.2 million, $231.9 million, and $265.1 million, respectively.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For performance obligations requiring the delivery of a service or a product for a fixed price, we use the ratio of actual costs incurred to total estimated costs at completion (“EAC”) provided that costs incurred (an input method) represents a reasonable measure of progress towards the satisfaction of a performance obligation, in order to estimate the portion of total revenue earned. Contract costs that are not reflective of our progress toward satisfying a performance obligation are not included in the calculation of the measure of progress. We estimate the EAC by making certain assumptions and judgments such as the level of efforts from internal staff and/or subcontractors and cost of materials needed to complete the tasks. Our cost estimate is based on our prior experience and expertise in delivery of similar services, which allow us to make reasonable assumptions and estimates that are close to actual costs to complete the obligations; however, changes in the scope or complexity of work, availability of materials needed, or performance could cause a change in the EAC. We routinely review EACs for changes that could materially impact our measurement of progress toward completion of the performance obligations and adjust our revenue in the period that the changes occur. For product-delivery contracts in which their EACs exceed their contract value, we recognize the losses in the same period of determination. For the years ended December 31, 2025, 2024, and 2023, our revenue from contracts in which we use EACs totaled $453.8 million, $479.7 million, and $310.1 million, respectively.</w:t>
      </w:r>
    </w:p>
    <w:p>
      <w:pPr>
        <w:spacing w:after="0" w:line="84" w:lineRule="exact"/>
        <w:rPr>
          <w:sz w:val="20"/>
          <w:szCs w:val="20"/>
          <w:color w:val="auto"/>
        </w:rPr>
      </w:pPr>
    </w:p>
    <w:p>
      <w:pPr>
        <w:ind w:right="80" w:firstLine="515"/>
        <w:spacing w:after="0" w:line="258" w:lineRule="auto"/>
        <w:rPr>
          <w:sz w:val="20"/>
          <w:szCs w:val="20"/>
          <w:color w:val="auto"/>
        </w:rPr>
      </w:pPr>
      <w:r>
        <w:rPr>
          <w:rFonts w:ascii="Times New Roman" w:cs="Times New Roman" w:eastAsia="Times New Roman" w:hAnsi="Times New Roman"/>
          <w:sz w:val="18"/>
          <w:szCs w:val="18"/>
          <w:color w:val="auto"/>
        </w:rPr>
        <w:t>Our contracts may include variable considerations such as award fees and incentives that may increase or decrease the transaction price. The actual amounts are typically determined and awarded at the end of a performance period and the final awarded amount is based on achieving certain performance metrics, program milestones, or cost targets at the customer’s discretion. We estimate variable consideration primarily by using the most likely amount method based on our prior history in providing the services to the customer or, if no history exists, we constrain the variable consideration until the initial determination by the customer.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Acquired Assets from Business Combinations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consolidated balance sheets as of December 31, 2025 and 2024 include $50.2 million and $88.2 million, respectively, of net intangible assets that were created through business acquisitions.</w:t>
      </w:r>
    </w:p>
    <w:p>
      <w:pPr>
        <w:spacing w:after="0" w:line="5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allocate the purchase price of an acquired business to the tangible assets and separately identifiable intangible assets acquired, less liabilities assumed, based on their respective fair values (except for contract assets and contract liabilities after the adoption of Accounting Standards Update 2021-08, Business Combinations: Accounting for Contract Assets and Contract Liabilities from Contracts with Customers). Such fair value assessment requires us to make assumptions, judgments, and estimates such as, but not limited to, future cash flows, revenue growth, customer retention rates, and discount rates based on information that exists at the date of the acquisition which may subsequently change. We recognize any adjustments to the preliminary amounts that are identified during the measurement period which is twelve months or less from the date of the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provisions for federal, state, and foreign income taxes are calculated from consolidated income based on current tax laws and any changes in tax rates from the rates used previously in determining the deferred tax assets and liabilities from temporary differences between financial statement carrying amounts and amounts on our tax returns.</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temporary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We evaluate our ability to benefit from all deferred tax assets and establish valuation allowances for amounts we believe are not more likely than not to be realized.</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use a more-likely-than-not recognition threshold based on the technical merits of the income tax position taken to evaluate uncertain tax positions. Uncertain tax positions that meet the more-likely-than-not recognition threshold are measured in order to determine the tax benefit recognized in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New accounting standards are discussed in “Note 2 - Summary of Significant Accounting Policies” in the “Notes to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KEY METRICS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order to evaluate operations, we track revenue by key metrics that provide useful information about the nature of our operations. Client markets provide insight into the breadth of our expertise. Client type is an indicator of the diversity of our client base. Revenue by contract mix provides insight in terms of the degree of performance risk that we have assumed. Significant variances in the key metrics tables that are provided below are discussed under the revenue section of the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markets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shows revenue generated from client markets as a percentage of total revenue for the periods indicated. For each client, we have attributed all revenue from that client to the market we consider to be the client’s primary market, even if a portion of that revenue relates to a different market. Certain minor revenue amounts reported in the prior years have been reclassified within key market categories based on our current view of the client’s primary market in order to increase the comparability of the current year to prior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3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Client Markets:</w:t>
            </w: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Energy, environment, infrastructure, and disaster recovery $</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979,137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934,399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805,942</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social programs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620,731</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765,139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814,789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Security and other civilian &amp; commercial</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272,983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320,249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342,507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3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1,872,851</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2,019,787</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1,963,238</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6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1028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1028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primary clients within the client markets are the agencies and departments of the federal government and commercial clients. Most of our revenue is from contracts on which we are the prime contractor, which we believe provides us with strong client relationships. In 2025, 2024, and 2023, approximately 86%, 87%, and 89% of our revenue, respectively, was from prime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type</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table below shows our revenue by type of client as a percentage of total revenue for the periods indicated. Certain immaterial revenue amounts in the prior years have been reclassified due to minor adjustments and reclassification within client type.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3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Client Type:</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federal government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809,073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1,088,607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1,084,047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and local government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322,956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316,017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309,516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government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119,131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110,680</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103,446</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1,251,160</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1,515,304</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1,497,009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621,691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504,483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466,229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1,872,851</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2,019,787</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1,963,238</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mix</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Contract mix, which provides insight into the performance risks that we have assumed and, therefore, the predictability of our contract revenues and margins, varies from year to year due to numerous factors, including our business strategies and the procurement activities of our clients. Unless the context requires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otherwise, we use the term “contracts” to refer to contracts and any task orders or delivery orders issued under a contract. There are three main types of contracts: time-and-materials contracts, fixed-price contracts, and cost-based contracts.</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approximate percentage of our revenue for each of these types of contracts for the periods indicated. Certain immaterial revenue amounts in the prior years have been reclassified due to minor adjustments and reclassification within contract mix.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2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2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8"/>
                <w:szCs w:val="18"/>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Mix:</w:t>
            </w:r>
          </w:p>
        </w:tc>
        <w:tc>
          <w:tcPr>
            <w:tcW w:w="1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Time-and-materials</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802,013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855,533</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811,911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132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932,659</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932,353</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886,200</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Cost-based</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138,179</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231,901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265,127</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2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1,872,851</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2,019,787</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1,963,238</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3"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Payments we received on cost-based contracts with the federal government are provisional payments subject to adjustment upon audit by the government. Contract revenue for subsequent periods has been recorded in amounts that are expected to be realized on final audit and settlement of costs.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comprehensive income for the years ended December 31, 2025 and 2024 and expresses these items as a percentage of revenue for the periods indicated and the period-over-period rate of change in each of them. Our discussion of the items for the years ended December 31, 2024 and 2023 can be found in our Annual Report on Form 10-K for the year ended December 31, 2024, which was filed with the SEC on February 28,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6"/>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4"/>
          </w:tcPr>
          <w:p>
            <w:pPr>
              <w:jc w:val="center"/>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Year to Year 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960" w:type="dxa"/>
            <w:vAlign w:val="bottom"/>
            <w:tcBorders>
              <w:top w:val="single" w:sz="8" w:color="auto"/>
              <w:bottom w:val="single" w:sz="8" w:color="auto"/>
            </w:tcBorders>
            <w:gridSpan w:val="3"/>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 to 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bottom w:val="single" w:sz="8" w:color="auto"/>
            </w:tcBorders>
            <w:gridSpan w:val="3"/>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Percentages</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20" w:type="dxa"/>
            <w:vAlign w:val="bottom"/>
          </w:tcPr>
          <w:p>
            <w:pPr>
              <w:spacing w:after="0"/>
              <w:rPr>
                <w:sz w:val="12"/>
                <w:szCs w:val="12"/>
                <w:color w:val="auto"/>
              </w:rPr>
            </w:pPr>
          </w:p>
        </w:tc>
        <w:tc>
          <w:tcPr>
            <w:tcW w:w="108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1,872,851</w:t>
            </w:r>
          </w:p>
        </w:tc>
        <w:tc>
          <w:tcPr>
            <w:tcW w:w="18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2,019,787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(146,936)</w:t>
            </w:r>
          </w:p>
        </w:tc>
        <w:tc>
          <w:tcPr>
            <w:tcW w:w="1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 Costs: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Direct labor &amp; related fringe benefit costs</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722,849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775,239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(52,390)</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37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Subcontractors and other direct costs</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453,986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506,777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(52,791)</w:t>
            </w:r>
          </w:p>
        </w:tc>
        <w:tc>
          <w:tcPr>
            <w:tcW w:w="1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Direct Costs</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1,176,835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1,282,016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62.8%</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63.5%</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(105,181)</w:t>
            </w:r>
          </w:p>
        </w:tc>
        <w:tc>
          <w:tcPr>
            <w:tcW w:w="1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48"/>
        </w:trPr>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Indirect and selling expenses</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492,404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518,453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(26,049)</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9"/>
        </w:trPr>
        <w:tc>
          <w:tcPr>
            <w:tcW w:w="37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20,484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6"/>
        </w:trPr>
        <w:tc>
          <w:tcPr>
            <w:tcW w:w="37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Amortization of intangible assets acquired in business</w:t>
            </w:r>
          </w:p>
        </w:tc>
        <w:tc>
          <w:tcPr>
            <w:tcW w:w="2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37,007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32,992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58"/>
        </w:trPr>
        <w:tc>
          <w:tcPr>
            <w:tcW w:w="376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combinations</w:t>
            </w: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58,147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53,476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4,671</w:t>
            </w:r>
          </w:p>
        </w:tc>
        <w:tc>
          <w:tcPr>
            <w:tcW w:w="12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Costs and Expenses</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550,551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571,929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28.3%</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(21,378)</w:t>
            </w:r>
          </w:p>
        </w:tc>
        <w:tc>
          <w:tcPr>
            <w:tcW w:w="1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145,465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165,842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(20,377)</w:t>
            </w:r>
          </w:p>
        </w:tc>
        <w:tc>
          <w:tcPr>
            <w:tcW w:w="12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8"/>
        </w:trPr>
        <w:tc>
          <w:tcPr>
            <w:tcW w:w="3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net</w:t>
            </w:r>
          </w:p>
        </w:tc>
        <w:tc>
          <w:tcPr>
            <w:tcW w:w="240" w:type="dxa"/>
            <w:vAlign w:val="bottom"/>
          </w:tcPr>
          <w:p>
            <w:pPr>
              <w:spacing w:after="0"/>
              <w:rPr>
                <w:sz w:val="12"/>
                <w:szCs w:val="12"/>
                <w:color w:val="auto"/>
              </w:rPr>
            </w:pPr>
          </w:p>
        </w:tc>
        <w:tc>
          <w:tcPr>
            <w:tcW w:w="10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(30,833)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(29,590)</w:t>
            </w:r>
          </w:p>
        </w:tc>
        <w:tc>
          <w:tcPr>
            <w:tcW w:w="12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1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2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(2,639)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1,806</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(4,445)</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111,993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138,058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(26,065)</w:t>
            </w:r>
          </w:p>
        </w:tc>
        <w:tc>
          <w:tcPr>
            <w:tcW w:w="1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37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Income Taxes</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20,405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(7,483)</w:t>
            </w: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24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91,588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110,170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(18,582)</w:t>
            </w:r>
          </w:p>
        </w:tc>
        <w:tc>
          <w:tcPr>
            <w:tcW w:w="120" w:type="dxa"/>
            <w:vAlign w:val="bottom"/>
          </w:tcPr>
          <w:p>
            <w:pPr>
              <w:spacing w:after="0"/>
              <w:rPr>
                <w:sz w:val="12"/>
                <w:szCs w:val="12"/>
                <w:color w:val="auto"/>
              </w:rPr>
            </w:pPr>
          </w:p>
        </w:tc>
        <w:tc>
          <w:tcPr>
            <w:tcW w:w="12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-719455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-719455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-719455</wp:posOffset>
            </wp:positionV>
            <wp:extent cx="1200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-719455</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-719455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-325120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-325120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-325120</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-325120</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-325120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-128270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-128270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-128270</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-128270</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year ended December 31, 2024</w:t>
      </w:r>
    </w:p>
    <w:p>
      <w:pPr>
        <w:spacing w:after="0" w:line="117" w:lineRule="exact"/>
        <w:rPr>
          <w:sz w:val="20"/>
          <w:szCs w:val="20"/>
          <w:color w:val="auto"/>
        </w:rPr>
      </w:pPr>
    </w:p>
    <w:p>
      <w:pPr>
        <w:ind w:right="3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decrease in revenue was driven by a reduction of $279.5 million from our U.S. federal government clients, primarily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terminated contracts in 2025 due to the Administration’s changing priorities and the actions recommended by DOGE, as well as the disruption in the typical U.S. federal government procurement cycle. This decline was offset by increases of $117.2 million, $8.5 million, and $6.9 million from our commercial, international government, and U.S. state and local government clients,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were changes in revenue from our various client markets:</w:t>
      </w:r>
    </w:p>
    <w:p>
      <w:pPr>
        <w:spacing w:after="0" w:line="117" w:lineRule="exact"/>
        <w:rPr>
          <w:sz w:val="20"/>
          <w:szCs w:val="20"/>
          <w:color w:val="auto"/>
        </w:rPr>
      </w:pPr>
    </w:p>
    <w:p>
      <w:pPr>
        <w:jc w:val="both"/>
        <w:ind w:left="1020" w:right="14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Environment, Infrastructure, and Disaster Recovery client market revenues increased $44.7 million, or 4.8%, driven by increases of $106.8 million, $5.6 million, and $5.0 million from our commercial, international government, and U.S. state and local government clients, respectively, offset by a decrease of $72.7 million from our U.S. federal government clients as described above.</w:t>
      </w:r>
    </w:p>
    <w:p>
      <w:pPr>
        <w:spacing w:after="0" w:line="6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Social Programs client market revenues decreased $144.4 million, or 18.9%, driven by a decrease of $156.6 million from our U.S. federal government clients as described above, offset by increases of $8.2 million, $3.2 million, and $0.8 million from our commercial, international government, and U.S. state and local government clients, respectively.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Other Civilian &amp; Commercial client market revenues decreased by $47.3 million, or 14.8%, driven by decreases of $50.2 million and $0.4 million from our U.S. federal government, as described above, and international government clients, respectively, offset by increases of $2.2 million and $1.1 million from our commercial and U.S. state and local government clients, respectively.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for the year ended December 31, 2025 includes subcontractor and other direct costs, which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decreased $52.8 million, or 10.4%, and totaled $454.0 million and $506.8 million for the years ended December 31, 2025 and 2024, respectively, and the margin on such costs.</w:t>
      </w:r>
    </w:p>
    <w:p>
      <w:pPr>
        <w:spacing w:after="0" w:line="5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Direct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direct costs was primarily a result of terminated U.S. federal government contracts during 2025.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2025 and 2024, direct labor and related fringe benefit costs were 61.4% and 60.5% of total direct costs, respectively, and subcontractors and other direct costs were 38.6% and 39.5% of total direct costs, respectively. The total direct costs as a percentage of revenue was 62.8% for the year ended December 31, 2025 compared to 63.5% for 2024.</w:t>
      </w:r>
    </w:p>
    <w:p>
      <w:pPr>
        <w:spacing w:after="0" w:line="6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Indirect and selling expenses. </w:t>
      </w:r>
      <w:r>
        <w:rPr>
          <w:rFonts w:ascii="Times New Roman" w:cs="Times New Roman" w:eastAsia="Times New Roman" w:hAnsi="Times New Roman"/>
          <w:sz w:val="18"/>
          <w:szCs w:val="18"/>
          <w:color w:val="auto"/>
        </w:rPr>
        <w:t>The decrease in indirect and selling expenses was due to a reduction of $21.8 million in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and $4.2 million in indirect labor and associated fringe benefit costs. The reduction in costs was a result of our cost-reduction and operational efficiency initiatives to align our cost structure with current business conditions. As a percentage of total indirect and selling expenses, indirect labor and associated fringe costs were 73.9% and 71.0%, respectively, and general and administrative costs were 26.1% and 29.0%, respectively, for the years ended December 31, 2025 and 2024. As a percentage of revenue, indirect and selling expenses were 26.3% and 25.7% for the years ended December 31, 2025 and 2024, respectively.</w:t>
      </w:r>
    </w:p>
    <w:p>
      <w:pPr>
        <w:spacing w:after="0" w:line="74" w:lineRule="exact"/>
        <w:rPr>
          <w:sz w:val="20"/>
          <w:szCs w:val="20"/>
          <w:color w:val="auto"/>
        </w:rPr>
      </w:pPr>
    </w:p>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amortization of intangible assets acquired in business combinations was primarily due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intangible assets acquired in our acquisition of AEG in the fourth quarter of 2024.</w:t>
      </w:r>
    </w:p>
    <w:p>
      <w:pPr>
        <w:spacing w:after="0" w:line="47"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interest, net was primarily due to our higher average debt balance of $513.3 million in 2025 compared to $474.0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2024. The average interest rate was 5.6% in 2025 compared to 6.6% in 2024. Interest from our debt facilities was $29.2 million for the year ended December 31, 2025, compared to $31.8 million for 2024. We utilize floating-to-fixed interest rate swap agreements to hedge the variable interest portion of our debt, which decreased interest by $1.2 million and $6.2 million for the years ended December 31, 2025 and 2024, respectively. Inclusive of the impact of the swap agreements, our interest rate was 5.4% and 5.3% for years ended December 31, 2025 and 2024, respectively.</w:t>
      </w:r>
    </w:p>
    <w:p>
      <w:pPr>
        <w:spacing w:after="0" w:line="71"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(expense)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change in other (expense) income was primarily due to $2.0 million of gains from divestiture of our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business recognized during the year ended December 31, 2024, and the net impact of foreign currency losses of $2.5 million for the year ended December 31, 2025 compared to $0.2 million net gains for the same period in 2024, resulting from depreciation of the U.S. dollar against the Euro and British pound, the principal currencies in which we transact.</w:t>
      </w:r>
    </w:p>
    <w:p>
      <w:pPr>
        <w:spacing w:after="0" w:line="6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effective income tax rate for the years ended December 31, 2025 and 2024 was 18.2% and 20.2%,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provision for income taxes in 2025 was primarily due to tax benefits related to U.S. federal tax regulations promulgated under Section 987 of the Internal Revenue of 1986, as amended, which took effect in 2025 and which govern governing pre-transition period foreign exchange gains and losses derived from translation of operations, assets, and liabilities of non-U.S. qualified subsidiaries partially offset by valuations allowances established on certain equity-based compensation assets and excess foreign tax credits.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tables provide reconciliations of financial measures that are not calculated in accordance with generally accepted accounting principles in the U.S. (“non-GAAP”) to their most comparable U.S. GAAP measures. While we believe that these non-GAAP financial measures provide additional information to investors and may be useful in evaluating our financial information, they should be considered supplemental in nature and not as a substitute for financial information prepared in accordance with U.S. GAAP. Other companies may define similarly titled non-GAAP measures differently and, accordingly, care should be exercised in understanding how we define these measures as similarly named measures are unlikely to be comparable across different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5" w:name="page46"/>
    <w:bookmarkEnd w:id="4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Earnings before interest, tax, and depreciation and amortization (“EBITDA”) is a measure we use to evaluate operating performance. We believe EBITDA is useful in assessing ongoing trends and, as a result, may provide additional visibility in understanding our operations.</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EBITDA further adjusted to eliminate the impact of certain items that we do not consider to be indicative of the performance of our ongoing operations. We evaluate these adjustments on an individual basis based on both the quantitative and qualitative aspects of the item, including their size and nature, as well as whether or not we expect them to occur as part of our normal business on a regular basis.</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EBITDA and Adjusted EBITDA are not intended to be measures of free cash flow as these measures do not include certain cash requirements such as interest payments, tax payments, capital expenditures, and debt service.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EBITDA and Adjusted EBITDA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82,612</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53,476</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100" w:type="dxa"/>
            <w:vAlign w:val="bottom"/>
          </w:tcPr>
          <w:p>
            <w:pPr>
              <w:spacing w:after="0"/>
              <w:rPr>
                <w:sz w:val="18"/>
                <w:szCs w:val="18"/>
                <w:color w:val="auto"/>
              </w:rPr>
            </w:pPr>
          </w:p>
        </w:tc>
      </w:tr>
      <w:tr>
        <w:trPr>
          <w:trHeight w:val="209"/>
        </w:trPr>
        <w:tc>
          <w:tcPr>
            <w:tcW w:w="6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200,973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196,966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Acquisition and divestiture-related expenses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Severance and other costs related to staff realignment </w:t>
            </w:r>
            <w:r>
              <w:rPr>
                <w:rFonts w:ascii="Times New Roman" w:cs="Times New Roman" w:eastAsia="Times New Roman" w:hAnsi="Times New Roman"/>
                <w:sz w:val="24"/>
                <w:szCs w:val="24"/>
                <w:color w:val="auto"/>
                <w:vertAlign w:val="superscript"/>
              </w:rPr>
              <w:t>(3)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Charges and adjustments related to facility consolidations and office closures </w:t>
            </w:r>
            <w:r>
              <w:rPr>
                <w:rFonts w:ascii="Times New Roman" w:cs="Times New Roman" w:eastAsia="Times New Roman" w:hAnsi="Times New Roman"/>
                <w:sz w:val="24"/>
                <w:szCs w:val="24"/>
                <w:color w:val="auto"/>
                <w:vertAlign w:val="superscript"/>
              </w:rPr>
              <w:t>(4)</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Pre-tax gain from divestiture of a business </w:t>
            </w:r>
            <w:r>
              <w:rPr>
                <w:rFonts w:ascii="Times New Roman" w:cs="Times New Roman" w:eastAsia="Times New Roman" w:hAnsi="Times New Roman"/>
                <w:sz w:val="24"/>
                <w:szCs w:val="24"/>
                <w:color w:val="auto"/>
                <w:vertAlign w:val="superscript"/>
              </w:rPr>
              <w:t>(5)</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(5,712)</w:t>
            </w:r>
          </w:p>
        </w:tc>
      </w:tr>
      <w:tr>
        <w:trPr>
          <w:trHeight w:val="210"/>
        </w:trPr>
        <w:tc>
          <w:tcPr>
            <w:tcW w:w="6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207,190</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226,006</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213,232</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-170815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520" w:right="380" w:hanging="512"/>
        <w:spacing w:after="0" w:line="261"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impairment of operating lease right-of-use and leasehold improvement assets associated with exit from certain facilities, and an intangible asset associated with exit of a business.</w:t>
      </w:r>
    </w:p>
    <w:p>
      <w:pPr>
        <w:spacing w:after="0" w:line="5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are primarily third-party costs related to acquisitions and integration of acquisitions.</w:t>
      </w:r>
    </w:p>
    <w:p>
      <w:pPr>
        <w:spacing w:after="0" w:line="95" w:lineRule="exact"/>
        <w:rPr>
          <w:rFonts w:ascii="Times New Roman" w:cs="Times New Roman" w:eastAsia="Times New Roman" w:hAnsi="Times New Roman"/>
          <w:sz w:val="14"/>
          <w:szCs w:val="14"/>
          <w:color w:val="auto"/>
        </w:rPr>
      </w:pPr>
    </w:p>
    <w:p>
      <w:pPr>
        <w:ind w:left="520" w:right="40" w:hanging="512"/>
        <w:spacing w:after="0" w:line="236"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costs are due to involuntary employee termination benefits for (i) our officers and (ii) a group of employees who have been notified that they will be terminated as part of a business reorganization or exit. For 2025, severance expense includes employee termination benefits as a direct result of contracts terminated for convenience during the year pursuant to executive orders issued by the Administration or actions recommended by DOGE and for which the Company was not reimbursed, or will not be reimbursed, by our federal government customers for these amounts.</w:t>
      </w:r>
    </w:p>
    <w:p>
      <w:pPr>
        <w:spacing w:after="0" w:line="68" w:lineRule="exact"/>
        <w:rPr>
          <w:rFonts w:ascii="Times New Roman" w:cs="Times New Roman" w:eastAsia="Times New Roman" w:hAnsi="Times New Roman"/>
          <w:sz w:val="14"/>
          <w:szCs w:val="14"/>
          <w:color w:val="auto"/>
        </w:rPr>
      </w:pPr>
    </w:p>
    <w:p>
      <w:pPr>
        <w:ind w:left="520" w:right="100" w:hanging="512"/>
        <w:spacing w:after="0" w:line="261"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charges and adjustments are related to a previously exited leased facility which we will continue to pay until the contractual obligations are satisfied but with no economic benefit to us, and the closure of certain international offices.</w:t>
      </w:r>
    </w:p>
    <w:p>
      <w:pPr>
        <w:spacing w:after="0" w:line="54"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gain related to the 2023 divestiture of our U.S. commercial marketing business which includes contingent gains realized in the first and third quarters of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Diluted Earnings per Share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Non-GAAP diluted earnings per share (“Non-GAAP Diluted EPS”) represents diluted U.S. GAAP earnings per share (“U.S. GAAP Diluted EPS”) excluding the impact of certain items noted above, and the impact of amortization of intangible assets and the related income tax effects. While these adjustments may be recurring and not infrequent or unusual, we do not consider these adjustments to be indicative of the performance of our ongoing operations. We believe that the supplemental adjustments provide additional information to investors.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U.S. GAAP Diluted EPS to Non-GAAP Diluted EPS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GAAP Diluted EPS</w:t>
            </w:r>
          </w:p>
        </w:tc>
        <w:tc>
          <w:tcPr>
            <w:tcW w:w="114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and divestiture-related expenses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other costs related to staff realignment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8"/>
                <w:szCs w:val="18"/>
                <w:color w:val="auto"/>
              </w:rPr>
            </w:pPr>
          </w:p>
        </w:tc>
      </w:tr>
      <w:tr>
        <w:trPr>
          <w:trHeight w:val="216"/>
        </w:trPr>
        <w:tc>
          <w:tcPr>
            <w:tcW w:w="6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Charges and adjustments related to facility consolidations and office closures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Pre-tax gain from divestiture of a business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6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Amortization of intangible assets acquired in business combinations </w:t>
            </w:r>
            <w:r>
              <w:rPr>
                <w:rFonts w:ascii="Times New Roman" w:cs="Times New Roman" w:eastAsia="Times New Roman" w:hAnsi="Times New Roman"/>
                <w:sz w:val="24"/>
                <w:szCs w:val="24"/>
                <w:color w:val="auto"/>
                <w:vertAlign w:val="superscript"/>
              </w:rPr>
              <w:t>(2)</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Income tax effects of the adjustments </w:t>
            </w:r>
            <w:r>
              <w:rPr>
                <w:rFonts w:ascii="Times New Roman" w:cs="Times New Roman" w:eastAsia="Times New Roman" w:hAnsi="Times New Roman"/>
                <w:sz w:val="24"/>
                <w:szCs w:val="24"/>
                <w:color w:val="auto"/>
                <w:vertAlign w:val="superscript"/>
              </w:rPr>
              <w:t>(3)</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(0.40)</w:t>
            </w: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6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Non-GAAP Diluted EPS</w:t>
            </w:r>
          </w:p>
        </w:tc>
        <w:tc>
          <w:tcPr>
            <w:tcW w:w="114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FF0FC"/>
          </w:tcPr>
          <w:p>
            <w:pPr>
              <w:spacing w:after="0"/>
              <w:rPr>
                <w:sz w:val="19"/>
                <w:szCs w:val="19"/>
                <w:color w:val="auto"/>
              </w:rPr>
            </w:pP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-25400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are office closure charges and adjustments previously included in Adjusted EBITDA and accelerated depreciation related to fixed assets for planned office closures.</w:t>
      </w:r>
    </w:p>
    <w:p>
      <w:pPr>
        <w:spacing w:after="0" w:line="95" w:lineRule="exact"/>
        <w:rPr>
          <w:rFonts w:ascii="Times New Roman" w:cs="Times New Roman" w:eastAsia="Times New Roman" w:hAnsi="Times New Roman"/>
          <w:sz w:val="14"/>
          <w:szCs w:val="14"/>
          <w:color w:val="auto"/>
        </w:rPr>
      </w:pPr>
    </w:p>
    <w:p>
      <w:pPr>
        <w:ind w:left="520" w:right="300" w:hanging="512"/>
        <w:spacing w:after="0" w:line="26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amortization of intangible assets acquired from business combinations totaled $37.0 million, $33.0 million, and $35.5 million for the years ended December 31, 2025, 2024, and 2023, respectively.</w:t>
      </w:r>
    </w:p>
    <w:p>
      <w:pPr>
        <w:spacing w:after="0" w:line="54" w:lineRule="exact"/>
        <w:rPr>
          <w:rFonts w:ascii="Times New Roman" w:cs="Times New Roman" w:eastAsia="Times New Roman" w:hAnsi="Times New Roman"/>
          <w:sz w:val="14"/>
          <w:szCs w:val="14"/>
          <w:color w:val="auto"/>
        </w:rPr>
      </w:pPr>
    </w:p>
    <w:p>
      <w:pPr>
        <w:ind w:left="520" w:right="180" w:hanging="512"/>
        <w:spacing w:after="0" w:line="261"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effects were calculated using the effective tax rate, adjusted for discrete items, if any, of 22.2%, 20.2% and 22.8% for the years ended December 31, 2025, 2024, and 2023, respectively.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Liquidity and Borrowing Capacity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Short-term liquidity requirements are created by our use of funds for working capital, capital expenditures,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dividends, and share repurchases. We expect to meet these requirements through a combination of our cash and cash equivalents at hand, cash flow from operations, and borrowings. Our primary source of borrowings is from our Credit Facility, as described in “Note 8 - Debt” in the “Notes to Consolidated Financial Statements” in this Annual Report on Form 10-K. As of December 31, 2025, we had $550.0 million of unused borrowing capacity available under the Credit Facility to fund our ongoing operations, future acquisitions, dividend payments, and share repurchase program. Should the need arise, we intend to further increase our borrowing capacity in the future to provide us with adequate working capital to continue our ongoing operations.</w:t>
      </w:r>
    </w:p>
    <w:p>
      <w:pPr>
        <w:spacing w:after="0" w:line="7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floating-to-fixed interest rate swap agreements for a total notional value of $175.0 million to hedge a portion of our floating-rate Credit Facility. The interest rate swaps will expire in 2030, but we may consider entering into additional swap agreements prior to the expiration of these existing hedges. As of December 31, 2025, the percentage of our fixed-rate debt to total debt from our Credit Facility was 43%.</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provide support services to the U.S. federal government and a prolonged federal government shutdown of non-essential functions may affect our ability to generate cash from that business to certain degrees. There are other conditions, such as the ongoing wars in Ukraine, instabilities in the Middle East, and volatility in global trade (including the imposition of tariffs), that create uncertainty in the global economy, which in turn may impact, among other things, our ability to generate positive cash flows from operations and our ability to successfully execute and fund key initiatives. However, our current belief is that the combination of internally generated funds, available bank borrowing capacity, and cash and cash equivalents on hand will provide the required liquidity and capital resources necessary to fund ongoing operations, customary capital expenditures, quarterly cash dividends, share repurchases, and organic growth. Additionally, we continuously analyze our capital structure to ensure we have capital to fund future strategic acquisitions.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continuously monitor the state of the financial markets to assess the availability of borrowing capacity under the Credit Facility and the cost of additional capital from both debt and equity markets. At present, we believe we will be able to continue to access these markets on commercially reasonable terms and conditions if we need additional capital in the near term.</w:t>
      </w:r>
    </w:p>
    <w:p>
      <w:pPr>
        <w:spacing w:after="0" w:line="6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Cash Requirements from Contractual Obligations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December 31, 2025, contractual obligations that require a material use of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payments of interest on our Credit Facility and operating lease obligations for facilities and equipment.</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2025, our outstanding Credit Facility balance, net of unamortized debt issuance costs, was $401.4 million, which is expected to be refinanced prior to it becoming due upon maturity in 2027. We borrow funds under the Credit Facility at interest rates based on both the SOFR (i.e., 1, 3, or 6-month rates) and a fluctuating Base Rate (see “Note 8 - Debt” in the “Notes to Consolidated Financial Statements” in this Annual Report on Form 10-K). Assuming that our interest rate on the Credit Facility is the same as on December 31, 2025, we anticipate our interest payments on the debt to be approximately $20.7 million annually in 2026 and for each year thereafter. The estimates do not consider future drawdowns and repayments on the debt or changes in the variable interest rate, and actual interest may be different.</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have operating leases for facilities and equipment with remaining terms ranging from 1 to 13 years. Our current and long-term operating lease liabilities of $158.7 million at December 31, 2025 represent the present value of the minimum payments required under the non-cancellable leases, and the actual cash payments total $191.5 million. The operating lease payment obligations by year are further discussed in “Note 7 - Leases” in the “Notes to Consolidated Financial Statements” in this Annual Report on Form 10-K.</w:t>
      </w:r>
    </w:p>
    <w:p>
      <w:pPr>
        <w:spacing w:after="0" w:line="7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also have finance leases for equipment and furniture with lease payment obligations through 2029 as discussed in “Note 7 - Leases” in the “Notes to Consolidated Financial Statements” in this Annual Report on Form 10-K. The current and long-term finance lease liabilities at December 31, 2025 of $11.3 million represent the present value of the minimum payments totaling $12.0 million.</w:t>
      </w:r>
    </w:p>
    <w:p>
      <w:pPr>
        <w:spacing w:after="0" w:line="64"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Our business and results of operations have not been materially affected by inflation and changing prices during the period presented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do not expect to be materially affected in the future due to the nature of our business as a provider of professional services with contracts that can be negotiated with new prices.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Cash dividends declared in 2025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r>
      <w:tr>
        <w:trPr>
          <w:trHeight w:val="210"/>
        </w:trPr>
        <w:tc>
          <w:tcPr>
            <w:tcW w:w="40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28, 2025</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14, 2025</w:t>
            </w:r>
          </w:p>
        </w:tc>
      </w:tr>
      <w:tr>
        <w:trPr>
          <w:trHeight w:val="216"/>
        </w:trPr>
        <w:tc>
          <w:tcPr>
            <w:tcW w:w="40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May 1, 2025</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6, 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11, 2025</w:t>
            </w:r>
          </w:p>
        </w:tc>
      </w:tr>
      <w:tr>
        <w:trPr>
          <w:trHeight w:val="216"/>
        </w:trPr>
        <w:tc>
          <w:tcPr>
            <w:tcW w:w="400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July 31, 2025</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5, 2025</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10, 2025</w:t>
            </w:r>
          </w:p>
        </w:tc>
      </w:tr>
      <w:tr>
        <w:trPr>
          <w:trHeight w:val="234"/>
        </w:trPr>
        <w:tc>
          <w:tcPr>
            <w:tcW w:w="400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October 30, 2025</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5, 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9, 2026</w:t>
            </w:r>
          </w:p>
        </w:tc>
      </w:tr>
      <w:tr>
        <w:trPr>
          <w:trHeight w:val="846"/>
        </w:trPr>
        <w:tc>
          <w:tcPr>
            <w:tcW w:w="4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summarizes our cash flows from the years ended December 31, 2025, 2024, and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141,870</w:t>
            </w:r>
          </w:p>
        </w:tc>
        <w:tc>
          <w:tcPr>
            <w:tcW w:w="1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171,544</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(21,511)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(74,805)</w:t>
            </w:r>
          </w:p>
        </w:tc>
        <w:tc>
          <w:tcPr>
            <w:tcW w:w="4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(84,307)</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(86,898)</w:t>
            </w: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(152,588)</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4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20" w:firstLine="51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decreased by $29.7 million compared to 2024 primarily due to profitability of our contracts, our ability to invoice our customers and subsequent collection of cash, and the timing of vendor payments.</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lower than 2024 by $53.3 million primarily due to our acquisition of AEG during the 2024 fiscal year.</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change in net cash used in financing activities was primarily due to higher net borrowings from our debt facilities, in part to fund additional share repurchases during the 2025 fiscal year.</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financial market risks, the most predominant being fluctuations in interest rates for borrowings under the Credit Facility and foreign exchange rate risk.</w:t>
      </w:r>
    </w:p>
    <w:p>
      <w:pPr>
        <w:spacing w:after="0" w:line="5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Borrowings under the Credit Facility accrue interest at variable rates. We monitor interest rate fluctuations and outlooks as an integral part of our overall risk management program, which recognizes the unpredictability of financial markets and seeks to reduce potentially adverse effects of higher interest rates on our results of operations. As part of this strategy, we use interest rate swap arrangements to hedge a portion of our interest rate risk that effectively converts our variable rate debt to fixed rate debt. We do not use such instruments for speculative or trading purposes. Based on our borrowings under the Credit Facility, a 1% increase in interest rates would have increased interest expense by approximately $5.2 million and would have decreased our annual operating income and operating cash flows by a comparable amount. At December 31, 2025, we had six interest rate swap agreements with a total aggregate notional amount of $175.0 million to hedge against changes in interest rates and offset potential increases in interest expense. See “Note 10 - Derivative Instruments and Hedging Activities” in the “Notes to Consolidated Financial Statements” in this Annual Report on Form 10-K.</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a result of conducting business in currencies other than the U.S. dollar, we are subject to market risk with respect to adverse fluctuations in currency exchange rates. In general, our currency risk is mitigated largely by matching costs with revenues in a given currency. However, our exposure to fluctuations in other currencies against the U.S. dollar increases as a greater portion of our revenue is generated in currencies other than the U.S. dollar. We may have hedges in place to mitigate our foreign exchange risk related to our operations in Europe; however, given the amount of business conducted outside of the U.S., there is some risk that revenue and profits will be affected by foreign currency exchange rate fluctuations.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use a sensitivity analysis to assess the impact of movement in foreign currency exchange rates on revenue. During the year ended December 31, 2025, approximately 8% of our revenue was generated from our international operations based on the location to which a contract was awarded. As a result, a 10% increase or decrease in the value of the U.S. dollar against all currencies would have an estimated impact on revenue of approximately 1%, or $15.9 million. Actual gains and losses in the future could differ materially from this analysis based on the timing and amount of both foreign currency exchange rate movements and our actual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of ICF International, Inc. and subsidiaries are provided in Part IV in this Annual Report on Form 10-K.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Based on an evaluation under the supervision and with the participation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the principal executive officer and principal financial officer have concluded that the Company’s disclosure controls and procedures, as defined in Rules 13a-15(e) and 15d-15(e) under the Exchange Act, were effective as of December 31, 2025 to provide reasonable assurance that information required to be disclosed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74"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Annual Report on Internal Control Over Financial Reporting. </w:t>
      </w:r>
      <w:r>
        <w:rPr>
          <w:rFonts w:ascii="Times New Roman" w:cs="Times New Roman" w:eastAsia="Times New Roman" w:hAnsi="Times New Roman"/>
          <w:sz w:val="18"/>
          <w:szCs w:val="18"/>
          <w:color w:val="auto"/>
        </w:rPr>
        <w:t>The Company’s management is responsible for establishing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maintaining adequate internal control over financial reporting (as such term is defined as of December 31, 2025 in Exchange Act Rules 13a-15(f) and 15d-15(f)). Management conducted an assessment of the effectiveness of the Company’s internal control over financial reporting based on the criteria set forth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w:t>
      </w:r>
      <w:r>
        <w:rPr>
          <w:rFonts w:ascii="Arial" w:cs="Arial" w:eastAsia="Arial" w:hAnsi="Arial"/>
          <w:sz w:val="16"/>
          <w:szCs w:val="16"/>
          <w:color w:val="auto"/>
        </w:rPr>
        <w:t>“COSO”</w:t>
      </w:r>
      <w:r>
        <w:rPr>
          <w:rFonts w:ascii="Times New Roman" w:cs="Times New Roman" w:eastAsia="Times New Roman" w:hAnsi="Times New Roman"/>
          <w:sz w:val="18"/>
          <w:szCs w:val="18"/>
          <w:color w:val="auto"/>
        </w:rPr>
        <w:t>). Based on the assessment, management has concluded that its internal control over financial reporting was effective as of December 31, 2025.</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Grant Thornton LLP, has issued an audit report on the Company’s internal control over financial reporting, which appears herein.</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(i) pertain to the maintenance of records that, in reasonable detail, accurately and fairly reflect the transactions and dispositions of the Company’s assets; (ii) provide reasonable assurance that transactions are recorded as necessary to permit preparation of financial statements in accordance with U.S. GAAP; (iii) that the Company’s receipts and expenditures are being made only in accordance with authorizations of the Company’s management and directors; and (iv)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material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fourth quarter of 2025 which were identified in connection with management’s evaluation required by paragraph (d) of Rules 13a-15 and 15d-15 under the Exchange Act, that have materially affected, or are reasonably likely to materially affect, the Company’s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entered into, modified, or terminated a “Rule 10b5-1 trading arrangement” or “non-Rule 10b5-1 trading arrangement,” in each case, as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right="4260"/>
        <w:spacing w:after="0" w:line="377"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Insider Information and Securities Trading</w:t>
      </w:r>
    </w:p>
    <w:p>
      <w:pPr>
        <w:spacing w:after="0" w:line="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an Insider Information and Securities Trading policy and procedures (the “Policy”) governing the purchase, sale and/or other disposition of our securities by our directors, officers, and employees, or by us, that we believe are reasonably designed to promote compliance with insider trading laws, rules, and regulations, and listing standards applicable to us. A copy of the Policy was filed as Exhibit 19.0 to our Annual Report on Form 10-K for the fiscal year ended December 31, 2024.</w:t>
      </w:r>
    </w:p>
    <w:p>
      <w:pPr>
        <w:spacing w:after="0" w:line="7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Other information required by this item will be included in our Proxy Statement for the 2026 Annual Meeting of Stockholders (the “2026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5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Number 248)</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40" w:type="dxa"/>
            <w:vAlign w:val="bottom"/>
            <w:gridSpan w:val="7"/>
            <w:vMerge w:val="continue"/>
          </w:tcPr>
          <w:p>
            <w:pPr>
              <w:spacing w:after="0"/>
              <w:rPr>
                <w:sz w:val="14"/>
                <w:szCs w:val="14"/>
                <w:color w:val="auto"/>
              </w:rPr>
            </w:pPr>
          </w:p>
        </w:tc>
        <w:tc>
          <w:tcPr>
            <w:tcW w:w="700" w:type="dxa"/>
            <w:vAlign w:val="bottom"/>
          </w:tcPr>
          <w:p>
            <w:pPr>
              <w:ind w:left="300"/>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4660" w:type="dxa"/>
            <w:vAlign w:val="bottom"/>
            <w:tcBorders>
              <w:top w:val="single" w:sz="8" w:color="0000FF"/>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1580" w:type="dxa"/>
            <w:vAlign w:val="bottom"/>
            <w:tcBorders>
              <w:top w:val="single" w:sz="8" w:color="0000FF"/>
            </w:tcBorders>
          </w:tcPr>
          <w:p>
            <w:pPr>
              <w:spacing w:after="0"/>
              <w:rPr>
                <w:sz w:val="17"/>
                <w:szCs w:val="17"/>
                <w:color w:val="auto"/>
              </w:rPr>
            </w:pPr>
          </w:p>
        </w:tc>
        <w:tc>
          <w:tcPr>
            <w:tcW w:w="4300" w:type="dxa"/>
            <w:vAlign w:val="bottom"/>
            <w:gridSpan w:val="4"/>
          </w:tcPr>
          <w:p>
            <w:pPr>
              <w:spacing w:after="0"/>
              <w:rPr>
                <w:sz w:val="17"/>
                <w:szCs w:val="17"/>
                <w:color w:val="auto"/>
              </w:rPr>
            </w:pPr>
          </w:p>
        </w:tc>
        <w:tc>
          <w:tcPr>
            <w:tcW w:w="7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2640" w:type="dxa"/>
            <w:vAlign w:val="bottom"/>
          </w:tcPr>
          <w:p>
            <w:pPr>
              <w:spacing w:after="0"/>
              <w:rPr>
                <w:sz w:val="17"/>
                <w:szCs w:val="17"/>
                <w:color w:val="auto"/>
              </w:rPr>
            </w:pPr>
          </w:p>
        </w:tc>
        <w:tc>
          <w:tcPr>
            <w:tcW w:w="7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7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77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840" w:type="dxa"/>
            <w:vAlign w:val="bottom"/>
            <w:gridSpan w:val="2"/>
          </w:tcPr>
          <w:p>
            <w:pPr>
              <w:spacing w:after="0"/>
              <w:rPr>
                <w:sz w:val="17"/>
                <w:szCs w:val="17"/>
                <w:color w:val="auto"/>
              </w:rPr>
            </w:pPr>
          </w:p>
        </w:tc>
        <w:tc>
          <w:tcPr>
            <w:tcW w:w="7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60" w:type="dxa"/>
            <w:vAlign w:val="bottom"/>
            <w:tcBorders>
              <w:top w:val="single" w:sz="8" w:color="0000EE"/>
            </w:tcBorders>
            <w:gridSpan w:val="3"/>
          </w:tcPr>
          <w:p>
            <w:pPr>
              <w:spacing w:after="0"/>
              <w:rPr>
                <w:sz w:val="17"/>
                <w:szCs w:val="17"/>
                <w:color w:val="auto"/>
              </w:rPr>
            </w:pPr>
          </w:p>
        </w:tc>
        <w:tc>
          <w:tcPr>
            <w:tcW w:w="3520" w:type="dxa"/>
            <w:vAlign w:val="bottom"/>
            <w:gridSpan w:val="3"/>
          </w:tcPr>
          <w:p>
            <w:pPr>
              <w:spacing w:after="0"/>
              <w:rPr>
                <w:sz w:val="17"/>
                <w:szCs w:val="17"/>
                <w:color w:val="auto"/>
              </w:rPr>
            </w:pPr>
          </w:p>
        </w:tc>
        <w:tc>
          <w:tcPr>
            <w:tcW w:w="70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 of the Registrant and its subsidiaries for fiscal years 2025, 2024, and 2023 required by Item 15(a) (Schedule II, Valuation and Qualifying Accounts) is included in Item 8 of this Annual Report on Form 10-K:</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Schedule II - Valuation and Qualifying Accounts</w:t>
            </w:r>
          </w:p>
        </w:tc>
        <w:tc>
          <w:tcPr>
            <w:tcW w:w="20" w:type="dxa"/>
            <w:vAlign w:val="bottom"/>
            <w:tcBorders>
              <w:bottom w:val="single" w:sz="8" w:color="0000EE"/>
            </w:tcBorders>
          </w:tcPr>
          <w:p>
            <w:pPr>
              <w:spacing w:after="0"/>
              <w:rPr>
                <w:sz w:val="17"/>
                <w:szCs w:val="17"/>
                <w:color w:val="auto"/>
              </w:rPr>
            </w:pPr>
          </w:p>
        </w:tc>
        <w:tc>
          <w:tcPr>
            <w:tcW w:w="7560" w:type="dxa"/>
            <w:vAlign w:val="bottom"/>
          </w:tcPr>
          <w:p>
            <w:pPr>
              <w:ind w:left="7220"/>
              <w:spacing w:after="0"/>
              <w:rPr>
                <w:sz w:val="20"/>
                <w:szCs w:val="20"/>
                <w:color w:val="auto"/>
              </w:rPr>
            </w:pPr>
            <w:r>
              <w:rPr>
                <w:rFonts w:ascii="Times New Roman" w:cs="Times New Roman" w:eastAsia="Times New Roman" w:hAnsi="Times New Roman"/>
                <w:sz w:val="18"/>
                <w:szCs w:val="18"/>
                <w:color w:val="auto"/>
                <w:w w:val="93"/>
              </w:rPr>
              <w:t>F-35</w:t>
            </w:r>
          </w:p>
        </w:tc>
      </w:tr>
    </w:tbl>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Schedules not filed have been omitted because they are not applicable, are not required or the information required to be set forth therein is included in the financial statements or notes thereto.</w:t>
      </w:r>
    </w:p>
    <w:p>
      <w:pPr>
        <w:spacing w:after="0" w:line="15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exhibits are included with this report or incorporated herein by reference: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20" w:type="dxa"/>
            <w:vAlign w:val="bottom"/>
            <w:gridSpan w:val="11"/>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1"/>
                <w:szCs w:val="21"/>
                <w:color w:val="auto"/>
              </w:rPr>
            </w:pPr>
          </w:p>
        </w:tc>
        <w:tc>
          <w:tcPr>
            <w:tcW w:w="10020" w:type="dxa"/>
            <w:vAlign w:val="bottom"/>
            <w:gridSpan w:val="19"/>
          </w:tcPr>
          <w:p>
            <w:pPr>
              <w:spacing w:after="0"/>
              <w:rPr>
                <w:rFonts w:ascii="Times New Roman" w:cs="Times New Roman" w:eastAsia="Times New Roman" w:hAnsi="Times New Roman"/>
                <w:sz w:val="18"/>
                <w:szCs w:val="18"/>
                <w:color w:val="auto"/>
                <w:w w:val="99"/>
              </w:rPr>
            </w:pPr>
            <w:hyperlink r:id="rId149">
              <w:r>
                <w:rPr>
                  <w:rFonts w:ascii="Times New Roman" w:cs="Times New Roman" w:eastAsia="Times New Roman" w:hAnsi="Times New Roman"/>
                  <w:sz w:val="18"/>
                  <w:szCs w:val="18"/>
                  <w:color w:val="auto"/>
                  <w:w w:val="99"/>
                </w:rPr>
                <w:t>Amended and Restated Certificate of Incorporation (Incorporated by reference to Exhibit 3.1 to the Company’s Form 10-Q, filed August 3,</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auto"/>
                <w:w w:val="98"/>
              </w:rPr>
            </w:pPr>
            <w:hyperlink r:id="rId149">
              <w:r>
                <w:rPr>
                  <w:rFonts w:ascii="Times New Roman" w:cs="Times New Roman" w:eastAsia="Times New Roman" w:hAnsi="Times New Roman"/>
                  <w:sz w:val="18"/>
                  <w:szCs w:val="18"/>
                  <w:color w:val="auto"/>
                  <w:w w:val="98"/>
                </w:rPr>
                <w:t>2017).</w:t>
              </w:r>
            </w:hyperlink>
          </w:p>
        </w:tc>
        <w:tc>
          <w:tcPr>
            <w:tcW w:w="4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Amended and Restated Bylaws of ICF International, Inc. (Incorporated by reference to Exhibit 3.1 to the Company’s Form 8-K,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September 26,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Specimen common stock certificate (Incorporated by reference to Exhibit 4.1 to the Company’s Form S-1/A (File No. 333-134018),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6"/>
              </w:rPr>
            </w:pPr>
            <w:hyperlink r:id="rId151">
              <w:r>
                <w:rPr>
                  <w:rFonts w:ascii="Times New Roman" w:cs="Times New Roman" w:eastAsia="Times New Roman" w:hAnsi="Times New Roman"/>
                  <w:sz w:val="18"/>
                  <w:szCs w:val="18"/>
                  <w:color w:val="auto"/>
                  <w:w w:val="96"/>
                </w:rPr>
                <w:t>September 12, 2006).</w:t>
              </w:r>
            </w:hyperlink>
          </w:p>
        </w:tc>
        <w:tc>
          <w:tcPr>
            <w:tcW w:w="8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Exhibits </w:t>
            </w:r>
            <w:hyperlink r:id="rId149">
              <w:r>
                <w:rPr>
                  <w:rFonts w:ascii="Times New Roman" w:cs="Times New Roman" w:eastAsia="Times New Roman" w:hAnsi="Times New Roman"/>
                  <w:sz w:val="18"/>
                  <w:szCs w:val="18"/>
                  <w:color w:val="auto"/>
                </w:rPr>
                <w:t xml:space="preserve">3.1 </w:t>
              </w:r>
            </w:hyperlink>
            <w:r>
              <w:rPr>
                <w:rFonts w:ascii="Times New Roman" w:cs="Times New Roman" w:eastAsia="Times New Roman" w:hAnsi="Times New Roman"/>
                <w:sz w:val="18"/>
                <w:szCs w:val="18"/>
                <w:color w:val="auto"/>
              </w:rPr>
              <w:t xml:space="preserve">and </w:t>
            </w:r>
            <w:hyperlink r:id="rId152">
              <w:r>
                <w:rPr>
                  <w:rFonts w:ascii="Times New Roman" w:cs="Times New Roman" w:eastAsia="Times New Roman" w:hAnsi="Times New Roman"/>
                  <w:sz w:val="18"/>
                  <w:szCs w:val="18"/>
                  <w:color w:val="auto"/>
                </w:rPr>
                <w:t xml:space="preserve">3.2, </w:t>
              </w:r>
            </w:hyperlink>
            <w:r>
              <w:rPr>
                <w:rFonts w:ascii="Times New Roman" w:cs="Times New Roman" w:eastAsia="Times New Roman" w:hAnsi="Times New Roman"/>
                <w:sz w:val="18"/>
                <w:szCs w:val="18"/>
                <w:color w:val="auto"/>
              </w:rPr>
              <w:t>above, for provisions of the Amended and Restated Certificate of Incorporation and Amended and Restated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Bylaws of the Company defining the rights of holders of common stock of the Company.</w:t>
            </w:r>
          </w:p>
        </w:tc>
        <w:tc>
          <w:tcPr>
            <w:tcW w:w="0" w:type="dxa"/>
            <w:vAlign w:val="bottom"/>
          </w:tcPr>
          <w:p>
            <w:pPr>
              <w:spacing w:after="0"/>
              <w:rPr>
                <w:sz w:val="1"/>
                <w:szCs w:val="1"/>
                <w:color w:val="auto"/>
              </w:rPr>
            </w:pPr>
          </w:p>
        </w:tc>
      </w:tr>
      <w:tr>
        <w:trPr>
          <w:trHeight w:val="256"/>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2"/>
                <w:szCs w:val="22"/>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Description of the Registrant’s Securities Registered Pursuant to Section 12 of the Securities Exchange Act of 1934 (Incorporated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reference to Exhibit 4.3 to the Company’s Form 10-K, filed February 25, 2022).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2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2006 Employee Stock Purchase Plan (Incorporated by reference to Exhibit 10.3 to the Company’s Form S-1 (File No. 333-134018), filed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2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May 11, 2006). +</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ICF International, Inc. Nonqualified Deferred Compensation Plan, as amended and restated as of January 1, 2012 (Incorporated by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6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reference to Exhibit 10.2 to the Company’s Form 10-K, filed March 1, 2013). +</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60" w:type="dxa"/>
            <w:vAlign w:val="bottom"/>
            <w:tcBorders>
              <w:right w:val="single" w:sz="8" w:color="0000EE"/>
            </w:tcBorders>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ICF International, Inc. Amended and Restated 2018 Omnibus Incentive Plan (Incorporated by reference to Exhibit A to the Company’s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 xml:space="preserve">Definitive Proxy Statement for the 2023 Annual Meeting of Stockholders, filed April 21, 2023). </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Restricted Stock Unit Award under the 2018 Omnibus Incentive Plan. (Incorporated by reference to Exhibit 10.1 to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40" w:type="dxa"/>
            <w:vAlign w:val="bottom"/>
            <w:gridSpan w:val="6"/>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 xml:space="preserve">Company’s Form 8-K, filed March 13, 2024). </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60" w:type="dxa"/>
            <w:vAlign w:val="bottom"/>
            <w:tcBorders>
              <w:right w:val="single" w:sz="8" w:color="0000EE"/>
            </w:tcBorders>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10020" w:type="dxa"/>
            <w:vAlign w:val="bottom"/>
            <w:gridSpan w:val="19"/>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Form of Non-Employee Restricted Stock Unit Award under the 2018 Omnibus Incentive Plan (Incorporated by reference to Exhibit 10.1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7"/>
            <w:shd w:val="clear" w:color="auto" w:fill="0000EE"/>
          </w:tcPr>
          <w:p>
            <w:pPr>
              <w:spacing w:after="0" w:line="20" w:lineRule="exact"/>
              <w:rPr>
                <w:sz w:val="1"/>
                <w:szCs w:val="1"/>
                <w:color w:val="auto"/>
              </w:rPr>
            </w:pPr>
          </w:p>
        </w:tc>
        <w:tc>
          <w:tcPr>
            <w:tcW w:w="6280" w:type="dxa"/>
            <w:vAlign w:val="bottom"/>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to the Company’s Form 8-K, filed June 27, 2018). +</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7"/>
            <w:shd w:val="clear" w:color="auto" w:fill="0000EE"/>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100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Form of CEO Performance Share Award Agreement (Incorporated by reference to Exhibit 10.4 to the Company’s Form 8-K, filed June 1,</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140" w:type="dxa"/>
            <w:vAlign w:val="bottom"/>
            <w:gridSpan w:val="4"/>
          </w:tcPr>
          <w:p>
            <w:pPr>
              <w:ind w:left="180"/>
              <w:spacing w:after="0" w:line="196" w:lineRule="exact"/>
              <w:rPr>
                <w:rFonts w:ascii="Times New Roman" w:cs="Times New Roman" w:eastAsia="Times New Roman" w:hAnsi="Times New Roman"/>
                <w:sz w:val="18"/>
                <w:szCs w:val="18"/>
                <w:color w:val="auto"/>
              </w:rPr>
            </w:pPr>
            <w:hyperlink r:id="rId159">
              <w:r>
                <w:rPr>
                  <w:rFonts w:ascii="Times New Roman" w:cs="Times New Roman" w:eastAsia="Times New Roman" w:hAnsi="Times New Roman"/>
                  <w:sz w:val="18"/>
                  <w:szCs w:val="18"/>
                  <w:color w:val="auto"/>
                </w:rPr>
                <w:t>2018). +</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120" w:type="dxa"/>
            <w:vAlign w:val="bottom"/>
            <w:gridSpan w:val="8"/>
          </w:tcPr>
          <w:p>
            <w:pPr>
              <w:jc w:val="right"/>
              <w:ind w:right="1008"/>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spacing w:after="0" w:line="59" w:lineRule="exact"/>
        <w:rPr>
          <w:sz w:val="20"/>
          <w:szCs w:val="20"/>
          <w:color w:val="auto"/>
        </w:rPr>
      </w:pPr>
    </w:p>
    <w:p>
      <w:pPr>
        <w:ind w:left="32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62">
        <w:r>
          <w:rPr>
            <w:rFonts w:ascii="Times New Roman" w:cs="Times New Roman" w:eastAsia="Times New Roman" w:hAnsi="Times New Roman"/>
            <w:sz w:val="18"/>
            <w:szCs w:val="18"/>
            <w:u w:val="single" w:color="auto"/>
            <w:color w:val="0000FF"/>
          </w:rPr>
          <w:t>Form of CEO Performance Share Award Agreement (Incorporated by reference to Exhibit 10.3 to the Company’s Form 8-K, filed March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63646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364605" cy="8890"/>
                    </a:xfrm>
                    <a:prstGeom prst="rect">
                      <a:avLst/>
                    </a:prstGeom>
                    <a:noFill/>
                  </pic:spPr>
                </pic:pic>
              </a:graphicData>
            </a:graphic>
          </wp:anchor>
        </w:drawing>
      </w:r>
    </w:p>
    <w:p>
      <w:pPr>
        <w:spacing w:after="0" w:line="7" w:lineRule="exact"/>
        <w:rPr>
          <w:sz w:val="20"/>
          <w:szCs w:val="20"/>
          <w:color w:val="auto"/>
        </w:rPr>
      </w:pPr>
    </w:p>
    <w:p>
      <w:pPr>
        <w:ind w:left="1180"/>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u w:val="single" w:color="auto"/>
            <w:color w:val="0000FF"/>
          </w:rPr>
          <w:t>13,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-19050</wp:posOffset>
            </wp:positionV>
            <wp:extent cx="4660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52" w:lineRule="exact"/>
        <w:rPr>
          <w:sz w:val="20"/>
          <w:szCs w:val="20"/>
          <w:color w:val="auto"/>
        </w:rPr>
      </w:pPr>
    </w:p>
    <w:p>
      <w:pPr>
        <w:ind w:left="32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65">
        <w:r>
          <w:rPr>
            <w:rFonts w:ascii="Times New Roman" w:cs="Times New Roman" w:eastAsia="Times New Roman" w:hAnsi="Times New Roman"/>
            <w:sz w:val="18"/>
            <w:szCs w:val="18"/>
            <w:u w:val="single" w:color="auto"/>
            <w:color w:val="0000FF"/>
          </w:rPr>
          <w:t>Form of General Performance Share Award Agreement under the 2018 Omnibus Incentive Plan.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6365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6365240" cy="8255"/>
                    </a:xfrm>
                    <a:prstGeom prst="rect">
                      <a:avLst/>
                    </a:prstGeom>
                    <a:noFill/>
                  </pic:spPr>
                </pic:pic>
              </a:graphicData>
            </a:graphic>
          </wp:anchor>
        </w:drawing>
      </w:r>
    </w:p>
    <w:p>
      <w:pPr>
        <w:spacing w:after="0" w:line="7" w:lineRule="exact"/>
        <w:rPr>
          <w:sz w:val="20"/>
          <w:szCs w:val="20"/>
          <w:color w:val="auto"/>
        </w:rPr>
      </w:pPr>
    </w:p>
    <w:p>
      <w:pPr>
        <w:ind w:left="1180"/>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u w:val="single" w:color="auto"/>
            <w:color w:val="0000FF"/>
          </w:rPr>
          <w:t>10.2 to the Company’s Form 8-K, filed March 13,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-19050</wp:posOffset>
            </wp:positionV>
            <wp:extent cx="26403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2" w:lineRule="exact"/>
        <w:rPr>
          <w:sz w:val="20"/>
          <w:szCs w:val="20"/>
          <w:color w:val="auto"/>
        </w:rPr>
      </w:pPr>
    </w:p>
    <w:p>
      <w:pPr>
        <w:ind w:left="1180" w:right="140" w:hanging="872"/>
        <w:spacing w:after="0" w:line="282" w:lineRule="auto"/>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r>
        <w:rPr>
          <w:sz w:val="20"/>
          <w:szCs w:val="20"/>
          <w:color w:val="auto"/>
        </w:rPr>
        <w:tab/>
      </w:r>
      <w:hyperlink r:id="rId168">
        <w:r>
          <w:rPr>
            <w:rFonts w:ascii="Times New Roman" w:cs="Times New Roman" w:eastAsia="Times New Roman" w:hAnsi="Times New Roman"/>
            <w:sz w:val="18"/>
            <w:szCs w:val="18"/>
            <w:color w:val="auto"/>
          </w:rPr>
          <w:t>Form of Cash-Settled Restricted Stock Unit Award under the 2018 Omnibus Incentive Plan. (Incorporated by reference to Exhibit 10.1 to</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color w:val="auto"/>
          </w:rPr>
          <w:t>the Company’s Form 8-K, filed June 1, 2018).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3144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631444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21196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2119630" cy="8255"/>
                    </a:xfrm>
                    <a:prstGeom prst="rect">
                      <a:avLst/>
                    </a:prstGeom>
                    <a:noFill/>
                  </pic:spPr>
                </pic:pic>
              </a:graphicData>
            </a:graphic>
          </wp:anchor>
        </w:drawing>
      </w:r>
    </w:p>
    <w:p>
      <w:pPr>
        <w:spacing w:after="0" w:line="7" w:lineRule="exact"/>
        <w:rPr>
          <w:sz w:val="20"/>
          <w:szCs w:val="20"/>
          <w:color w:val="auto"/>
        </w:rPr>
      </w:pPr>
    </w:p>
    <w:p>
      <w:pPr>
        <w:ind w:left="1180" w:right="500" w:hanging="917"/>
        <w:spacing w:after="0" w:line="282" w:lineRule="auto"/>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w:t>
      </w:r>
      <w:r>
        <w:rPr>
          <w:sz w:val="20"/>
          <w:szCs w:val="20"/>
          <w:color w:val="auto"/>
        </w:rPr>
        <w:tab/>
      </w:r>
      <w:hyperlink r:id="rId171">
        <w:r>
          <w:rPr>
            <w:rFonts w:ascii="Times New Roman" w:cs="Times New Roman" w:eastAsia="Times New Roman" w:hAnsi="Times New Roman"/>
            <w:sz w:val="18"/>
            <w:szCs w:val="18"/>
            <w:color w:val="auto"/>
          </w:rPr>
          <w:t>Restated Severance Protection Agreement between John Wasson and ICF International, Inc. dated October 1, 2019 (Incorporated by</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color w:val="auto"/>
          </w:rPr>
          <w:t>reference to Exhibit 10.1 to the Company’s Form 8-K, filed October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0788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607885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35598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3559810" cy="8255"/>
                    </a:xfrm>
                    <a:prstGeom prst="rect">
                      <a:avLst/>
                    </a:prstGeom>
                    <a:noFill/>
                  </pic:spPr>
                </pic:pic>
              </a:graphicData>
            </a:graphic>
          </wp:anchor>
        </w:drawing>
      </w:r>
    </w:p>
    <w:p>
      <w:pPr>
        <w:spacing w:after="0" w:line="7" w:lineRule="exact"/>
        <w:rPr>
          <w:sz w:val="20"/>
          <w:szCs w:val="20"/>
          <w:color w:val="auto"/>
        </w:rPr>
      </w:pPr>
    </w:p>
    <w:p>
      <w:pPr>
        <w:ind w:left="1180" w:right="560" w:hanging="917"/>
        <w:spacing w:after="0" w:line="282" w:lineRule="auto"/>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w:t>
      </w:r>
      <w:r>
        <w:rPr>
          <w:sz w:val="20"/>
          <w:szCs w:val="20"/>
          <w:color w:val="auto"/>
        </w:rPr>
        <w:tab/>
      </w:r>
      <w:hyperlink r:id="rId174">
        <w:r>
          <w:rPr>
            <w:rFonts w:ascii="Times New Roman" w:cs="Times New Roman" w:eastAsia="Times New Roman" w:hAnsi="Times New Roman"/>
            <w:sz w:val="18"/>
            <w:szCs w:val="18"/>
            <w:color w:val="auto"/>
          </w:rPr>
          <w:t>Amended Severance Letter Agreement by and between the Company and John Wasson, dated December 12, 2008 (Incorporated by</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color w:val="auto"/>
          </w:rPr>
          <w:t>reference to Exhibit 10.4 to the Company’s Form 8-K, filed December 18, 2008).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0471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604710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37185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3718560" cy="8255"/>
                    </a:xfrm>
                    <a:prstGeom prst="rect">
                      <a:avLst/>
                    </a:prstGeom>
                    <a:noFill/>
                  </pic:spPr>
                </pic:pic>
              </a:graphicData>
            </a:graphic>
          </wp:anchor>
        </w:drawing>
      </w:r>
    </w:p>
    <w:p>
      <w:pPr>
        <w:spacing w:after="0" w:line="7" w:lineRule="exact"/>
        <w:rPr>
          <w:sz w:val="20"/>
          <w:szCs w:val="20"/>
          <w:color w:val="auto"/>
        </w:rPr>
      </w:pPr>
    </w:p>
    <w:p>
      <w:pPr>
        <w:ind w:left="1180" w:right="100" w:hanging="917"/>
        <w:spacing w:after="0" w:line="282" w:lineRule="auto"/>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w:t>
      </w:r>
      <w:r>
        <w:rPr>
          <w:sz w:val="20"/>
          <w:szCs w:val="20"/>
          <w:color w:val="auto"/>
        </w:rPr>
        <w:tab/>
      </w:r>
      <w:hyperlink r:id="rId177">
        <w:r>
          <w:rPr>
            <w:rFonts w:ascii="Times New Roman" w:cs="Times New Roman" w:eastAsia="Times New Roman" w:hAnsi="Times New Roman"/>
            <w:sz w:val="18"/>
            <w:szCs w:val="18"/>
            <w:color w:val="auto"/>
          </w:rPr>
          <w:t>Employment Terms by and between the Company and James C. Morgan, dated June 8, 2012 (Incorporated by reference to Exhibit 10.1 to</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color w:val="auto"/>
          </w:rPr>
          <w:t>the Company’s Form 10-Q, filed August 6, 2012).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3392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633920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22974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7" w:lineRule="exact"/>
        <w:rPr>
          <w:sz w:val="20"/>
          <w:szCs w:val="20"/>
          <w:color w:val="auto"/>
        </w:rPr>
      </w:pPr>
    </w:p>
    <w:p>
      <w:pPr>
        <w:ind w:left="1180" w:right="600" w:hanging="917"/>
        <w:spacing w:after="0" w:line="282" w:lineRule="auto"/>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10.13</w:t>
      </w:r>
      <w:r>
        <w:rPr>
          <w:sz w:val="20"/>
          <w:szCs w:val="20"/>
          <w:color w:val="auto"/>
        </w:rPr>
        <w:tab/>
      </w:r>
      <w:hyperlink r:id="rId180">
        <w:r>
          <w:rPr>
            <w:rFonts w:ascii="Times New Roman" w:cs="Times New Roman" w:eastAsia="Times New Roman" w:hAnsi="Times New Roman"/>
            <w:sz w:val="18"/>
            <w:szCs w:val="18"/>
            <w:color w:val="auto"/>
          </w:rPr>
          <w:t>Severance Benefit/Protection Agreement by and between the Company and James C. Morgan, dated June 8, 2012 (Incorporated by</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color w:val="auto"/>
          </w:rPr>
          <w:t>reference to Exhibit 10.2 to the Company’s Form 10-Q, filed August 6, 2012).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0185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601853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35794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3579495" cy="8255"/>
                    </a:xfrm>
                    <a:prstGeom prst="rect">
                      <a:avLst/>
                    </a:prstGeom>
                    <a:noFill/>
                  </pic:spPr>
                </pic:pic>
              </a:graphicData>
            </a:graphic>
          </wp:anchor>
        </w:drawing>
      </w:r>
    </w:p>
    <w:p>
      <w:pPr>
        <w:spacing w:after="0" w:line="7" w:lineRule="exact"/>
        <w:rPr>
          <w:sz w:val="20"/>
          <w:szCs w:val="20"/>
          <w:color w:val="auto"/>
        </w:rPr>
      </w:pPr>
    </w:p>
    <w:p>
      <w:pPr>
        <w:ind w:left="280"/>
        <w:spacing w:after="0"/>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r>
        <w:rPr>
          <w:sz w:val="20"/>
          <w:szCs w:val="20"/>
          <w:color w:val="auto"/>
        </w:rPr>
        <w:tab/>
      </w:r>
      <w:hyperlink r:id="rId183">
        <w:r>
          <w:rPr>
            <w:rFonts w:ascii="Times New Roman" w:cs="Times New Roman" w:eastAsia="Times New Roman" w:hAnsi="Times New Roman"/>
            <w:sz w:val="18"/>
            <w:szCs w:val="18"/>
            <w:color w:val="auto"/>
          </w:rPr>
          <w:t>Severance Letter Agreement by and between the Company and Sergio J. Ostria, dated March 6, 2012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63690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7" w:lineRule="exact"/>
        <w:rPr>
          <w:sz w:val="20"/>
          <w:szCs w:val="20"/>
          <w:color w:val="auto"/>
        </w:rPr>
      </w:pPr>
    </w:p>
    <w:p>
      <w:pPr>
        <w:ind w:left="1180"/>
        <w:spacing w:after="0"/>
        <w:rPr>
          <w:rFonts w:ascii="Times New Roman" w:cs="Times New Roman" w:eastAsia="Times New Roman" w:hAnsi="Times New Roman"/>
          <w:sz w:val="18"/>
          <w:szCs w:val="18"/>
          <w:color w:val="auto"/>
        </w:rPr>
      </w:pPr>
      <w:hyperlink r:id="rId183">
        <w:r>
          <w:rPr>
            <w:rFonts w:ascii="Times New Roman" w:cs="Times New Roman" w:eastAsia="Times New Roman" w:hAnsi="Times New Roman"/>
            <w:sz w:val="18"/>
            <w:szCs w:val="18"/>
            <w:color w:val="auto"/>
          </w:rPr>
          <w:t>10.18 to the Company’s Form 10-K, filed on March 8, 2016). +</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-19050</wp:posOffset>
            </wp:positionV>
            <wp:extent cx="28117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2" w:lineRule="exact"/>
        <w:rPr>
          <w:sz w:val="20"/>
          <w:szCs w:val="20"/>
          <w:color w:val="auto"/>
        </w:rPr>
      </w:pPr>
    </w:p>
    <w:p>
      <w:pPr>
        <w:ind w:left="1180" w:right="380" w:hanging="917"/>
        <w:spacing w:after="0" w:line="282"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86">
        <w:r>
          <w:rPr>
            <w:rFonts w:ascii="Times New Roman" w:cs="Times New Roman" w:eastAsia="Times New Roman" w:hAnsi="Times New Roman"/>
            <w:sz w:val="18"/>
            <w:szCs w:val="18"/>
            <w:u w:val="single" w:color="auto"/>
            <w:color w:val="0000FF"/>
          </w:rPr>
          <w:t>Amended and Restated Credit Agreement, dated May 6, 2022 (Incorporated by reference to Exhibit 10.1 to the Company’s Form 8-K,</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filed May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1614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616140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8851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7" w:lineRule="exact"/>
        <w:rPr>
          <w:sz w:val="20"/>
          <w:szCs w:val="20"/>
          <w:color w:val="auto"/>
        </w:rPr>
      </w:pPr>
    </w:p>
    <w:p>
      <w:pPr>
        <w:ind w:left="1180" w:right="460" w:hanging="917"/>
        <w:spacing w:after="0" w:line="282"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89">
        <w:r>
          <w:rPr>
            <w:rFonts w:ascii="Times New Roman" w:cs="Times New Roman" w:eastAsia="Times New Roman" w:hAnsi="Times New Roman"/>
            <w:sz w:val="18"/>
            <w:szCs w:val="18"/>
            <w:u w:val="single" w:color="auto"/>
            <w:color w:val="0000FF"/>
          </w:rPr>
          <w:t>First Amendment to Amended and Restated Credit Agreement, dated May 17, 2023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Company’s Form 8-K, filed May 19,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1010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6101080" cy="8890"/>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20085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2008505" cy="8255"/>
                    </a:xfrm>
                    <a:prstGeom prst="rect">
                      <a:avLst/>
                    </a:prstGeom>
                    <a:noFill/>
                  </pic:spPr>
                </pic:pic>
              </a:graphicData>
            </a:graphic>
          </wp:anchor>
        </w:drawing>
      </w:r>
    </w:p>
    <w:p>
      <w:pPr>
        <w:spacing w:after="0" w:line="7" w:lineRule="exact"/>
        <w:rPr>
          <w:sz w:val="20"/>
          <w:szCs w:val="20"/>
          <w:color w:val="auto"/>
        </w:rPr>
      </w:pPr>
    </w:p>
    <w:p>
      <w:pPr>
        <w:ind w:left="1180" w:right="100" w:hanging="917"/>
        <w:spacing w:after="0" w:line="282"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92">
        <w:r>
          <w:rPr>
            <w:rFonts w:ascii="Times New Roman" w:cs="Times New Roman" w:eastAsia="Times New Roman" w:hAnsi="Times New Roman"/>
            <w:sz w:val="18"/>
            <w:szCs w:val="18"/>
            <w:u w:val="single" w:color="auto"/>
            <w:color w:val="0000FF"/>
          </w:rPr>
          <w:t>Second Amendment to Amended and Restated Credit Agreement, dated November 6, 2023 (Incorporated by reference to Exhibit 10.17 to</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the Company's Form 10-K dated February 28,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3328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6332855"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24288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2428875" cy="8890"/>
                    </a:xfrm>
                    <a:prstGeom prst="rect">
                      <a:avLst/>
                    </a:prstGeom>
                    <a:noFill/>
                  </pic:spPr>
                </pic:pic>
              </a:graphicData>
            </a:graphic>
          </wp:anchor>
        </w:drawing>
      </w:r>
    </w:p>
    <w:p>
      <w:pPr>
        <w:spacing w:after="0" w:line="7" w:lineRule="exact"/>
        <w:rPr>
          <w:sz w:val="20"/>
          <w:szCs w:val="20"/>
          <w:color w:val="auto"/>
        </w:rPr>
      </w:pPr>
    </w:p>
    <w:p>
      <w:pPr>
        <w:ind w:left="1180" w:right="60" w:hanging="917"/>
        <w:spacing w:after="0" w:line="282" w:lineRule="auto"/>
        <w:tabs>
          <w:tab w:leader="none" w:pos="116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10.18</w:t>
      </w:r>
      <w:r>
        <w:rPr>
          <w:sz w:val="20"/>
          <w:szCs w:val="20"/>
          <w:color w:val="auto"/>
        </w:rPr>
        <w:tab/>
      </w:r>
      <w:hyperlink r:id="rId195">
        <w:r>
          <w:rPr>
            <w:rFonts w:ascii="Times New Roman" w:cs="Times New Roman" w:eastAsia="Times New Roman" w:hAnsi="Times New Roman"/>
            <w:sz w:val="18"/>
            <w:szCs w:val="18"/>
            <w:color w:val="auto"/>
          </w:rPr>
          <w:t>Lease Agreement between ICF Consulting Group, Inc. and CRS Plaza II, LLC, dated as of October 24, 2019 (Incorporated by reference to</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auto"/>
          </w:rPr>
          <w:t>Exhibit 10.1 to the Company’s Form 8-K, filed October 30,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-185420</wp:posOffset>
            </wp:positionV>
            <wp:extent cx="63614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755015</wp:posOffset>
            </wp:positionH>
            <wp:positionV relativeFrom="paragraph">
              <wp:posOffset>-48260</wp:posOffset>
            </wp:positionV>
            <wp:extent cx="30460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046095" cy="8890"/>
                    </a:xfrm>
                    <a:prstGeom prst="rect">
                      <a:avLst/>
                    </a:prstGeom>
                    <a:noFill/>
                  </pic:spPr>
                </pic:pic>
              </a:graphicData>
            </a:graphic>
          </wp:anchor>
        </w:drawing>
      </w:r>
    </w:p>
    <w:p>
      <w:pPr>
        <w:spacing w:after="0" w:line="7" w:lineRule="exact"/>
        <w:rPr>
          <w:sz w:val="20"/>
          <w:szCs w:val="20"/>
          <w:color w:val="auto"/>
        </w:rPr>
      </w:pPr>
    </w:p>
    <w:p>
      <w:pPr>
        <w:ind w:left="32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19.1</w:t>
      </w:r>
      <w:r>
        <w:rPr>
          <w:sz w:val="20"/>
          <w:szCs w:val="20"/>
          <w:color w:val="auto"/>
        </w:rPr>
        <w:tab/>
      </w:r>
      <w:hyperlink r:id="rId198">
        <w:r>
          <w:rPr>
            <w:rFonts w:ascii="Times New Roman" w:cs="Times New Roman" w:eastAsia="Times New Roman" w:hAnsi="Times New Roman"/>
            <w:sz w:val="18"/>
            <w:szCs w:val="18"/>
            <w:u w:val="single" w:color="auto"/>
            <w:color w:val="0000FF"/>
          </w:rPr>
          <w:t>Insider Trading Policy (Incorporated by reference to Exhibit 19.0 to the Company</w:t>
        </w:r>
      </w:hyperlink>
      <w:r>
        <w:rPr>
          <w:rFonts w:ascii="Times New Roman" w:cs="Times New Roman" w:eastAsia="Times New Roman" w:hAnsi="Times New Roman"/>
          <w:sz w:val="18"/>
          <w:szCs w:val="18"/>
          <w:color w:val="000000"/>
        </w:rPr>
        <w:t>’</w:t>
      </w:r>
      <w:hyperlink r:id="rId198">
        <w:r>
          <w:rPr>
            <w:rFonts w:ascii="Times New Roman" w:cs="Times New Roman" w:eastAsia="Times New Roman" w:hAnsi="Times New Roman"/>
            <w:sz w:val="18"/>
            <w:szCs w:val="18"/>
            <w:u w:val="single" w:color="auto"/>
            <w:color w:val="0000FF"/>
          </w:rPr>
          <w:t>s Form 10-K, filed February 28,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55683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5568315" cy="8890"/>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14344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1558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Certificate of the Principal Executive Officer Pursuant to Exchange Act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47967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4796790" cy="8890"/>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Certificate of the Principal Financial Officer Pursuant to Exchange Act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47650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4765040" cy="8890"/>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Certifications of Principal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48577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4857750" cy="8255"/>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Certifications of Principal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48260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70" w:lineRule="exact"/>
        <w:rPr>
          <w:sz w:val="20"/>
          <w:szCs w:val="20"/>
          <w:color w:val="auto"/>
        </w:rPr>
      </w:pPr>
    </w:p>
    <w:p>
      <w:pPr>
        <w:ind w:left="320"/>
        <w:spacing w:after="0"/>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97.0</w:t>
      </w:r>
      <w:r>
        <w:rPr>
          <w:sz w:val="20"/>
          <w:szCs w:val="20"/>
          <w:color w:val="auto"/>
        </w:rPr>
        <w:tab/>
      </w:r>
      <w:hyperlink r:id="rId206">
        <w:r>
          <w:rPr>
            <w:rFonts w:ascii="Times New Roman" w:cs="Times New Roman" w:eastAsia="Times New Roman" w:hAnsi="Times New Roman"/>
            <w:sz w:val="18"/>
            <w:szCs w:val="18"/>
            <w:u w:val="single" w:color="auto"/>
            <w:color w:val="0000FF"/>
          </w:rPr>
          <w:t>Compensation Recovery Policy (Incorporated by reference to Exhibit 97.0 to the Company</w:t>
        </w:r>
      </w:hyperlink>
      <w:r>
        <w:rPr>
          <w:rFonts w:ascii="Times New Roman" w:cs="Times New Roman" w:eastAsia="Times New Roman" w:hAnsi="Times New Roman"/>
          <w:sz w:val="18"/>
          <w:szCs w:val="18"/>
          <w:color w:val="000000"/>
        </w:rPr>
        <w:t>’</w:t>
      </w:r>
      <w:hyperlink r:id="rId206">
        <w:r>
          <w:rPr>
            <w:rFonts w:ascii="Times New Roman" w:cs="Times New Roman" w:eastAsia="Times New Roman" w:hAnsi="Times New Roman"/>
            <w:sz w:val="18"/>
            <w:szCs w:val="18"/>
            <w:u w:val="single" w:color="auto"/>
            <w:color w:val="0000FF"/>
          </w:rPr>
          <w:t>s Form 10-K, filed February 28,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-7620</wp:posOffset>
            </wp:positionV>
            <wp:extent cx="59874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5987415" cy="8890"/>
                    </a:xfrm>
                    <a:prstGeom prst="rect">
                      <a:avLst/>
                    </a:prstGeom>
                    <a:noFill/>
                  </pic:spPr>
                </pic:pic>
              </a:graphicData>
            </a:graphic>
          </wp:anchor>
        </w:drawing>
      </w:r>
    </w:p>
    <w:p>
      <w:pPr>
        <w:spacing w:after="0" w:line="70" w:lineRule="exact"/>
        <w:rPr>
          <w:sz w:val="20"/>
          <w:szCs w:val="20"/>
          <w:color w:val="auto"/>
        </w:rPr>
      </w:pPr>
    </w:p>
    <w:p>
      <w:pPr>
        <w:ind w:left="1180" w:right="60" w:hanging="841"/>
        <w:spacing w:after="0" w:line="261"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ICF International, Inc. Annual Report on Form 10-K for the year ended December 31, 2025 formatted in Inline eXtensible Business Reporting Language (iXBRL): (i) Consolidated Balance Sheets, (ii) Consolidated Statements of Comprehensive Income, (iii) Consolidated Statements of Stockholders’ Equity, (iv) Consolidated Statements of Cash Flows and (v) Notes to Consolidated Financial Statements. *</w:t>
      </w:r>
    </w:p>
    <w:p>
      <w:pPr>
        <w:spacing w:after="0" w:line="45" w:lineRule="exact"/>
        <w:rPr>
          <w:sz w:val="20"/>
          <w:szCs w:val="20"/>
          <w:color w:val="auto"/>
        </w:rPr>
      </w:pPr>
    </w:p>
    <w:p>
      <w:pPr>
        <w:ind w:left="-20" w:right="440" w:firstLine="359"/>
        <w:spacing w:after="0" w:line="423" w:lineRule="auto"/>
        <w:tabs>
          <w:tab w:leader="none" w:pos="11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cover page from the </w:t>
      </w:r>
      <w:hyperlink r:id="rId208">
        <w:r>
          <w:rPr>
            <w:rFonts w:ascii="Times New Roman" w:cs="Times New Roman" w:eastAsia="Times New Roman" w:hAnsi="Times New Roman"/>
            <w:sz w:val="18"/>
            <w:szCs w:val="18"/>
            <w:color w:val="auto"/>
          </w:rPr>
          <w:t xml:space="preserve">Company’s </w:t>
        </w:r>
      </w:hyperlink>
      <w:r>
        <w:rPr>
          <w:rFonts w:ascii="Times New Roman" w:cs="Times New Roman" w:eastAsia="Times New Roman" w:hAnsi="Times New Roman"/>
          <w:sz w:val="18"/>
          <w:szCs w:val="18"/>
          <w:color w:val="auto"/>
        </w:rPr>
        <w:t>Annual Report on Form 10-K for the year ended December 31, 2025, formatted in Inline XBRL * Submitted electronically herewith</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-339725</wp:posOffset>
            </wp:positionV>
            <wp:extent cx="381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53" w:name="page54"/>
    <w:bookmarkEnd w:id="5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 required to be filed as an exhibit.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413"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ICF INTERNATIONAL, INC.</w:t>
      </w:r>
    </w:p>
    <w:p>
      <w:pPr>
        <w:spacing w:after="0" w:line="2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24765</wp:posOffset>
            </wp:positionV>
            <wp:extent cx="29571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5300" w:space="720"/>
            <w:col w:w="2240" w:space="20"/>
            <w:col w:w="2960"/>
          </w:cols>
          <w:pgMar w:left="320" w:top="1413" w:right="339" w:bottom="1440" w:gutter="0" w:footer="0" w:header="0"/>
          <w:type w:val="continuous"/>
        </w:sect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John Wasson</w:t>
      </w:r>
    </w:p>
    <w:p>
      <w:pPr>
        <w:spacing w:after="0" w:line="23"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b w:val="1"/>
          <w:bCs w:val="1"/>
          <w:color w:val="auto"/>
        </w:rPr>
        <w:t>Chair and Chief Executive Officer</w:t>
      </w:r>
    </w:p>
    <w:p>
      <w:pPr>
        <w:spacing w:after="0" w:line="9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31"/>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3"/>
              </w:rPr>
              <w:t>/s/</w:t>
            </w:r>
          </w:p>
        </w:tc>
        <w:tc>
          <w:tcPr>
            <w:tcW w:w="284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JOHN WASSON</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Chief Executive Officer, and Director</w:t>
            </w:r>
          </w:p>
        </w:tc>
        <w:tc>
          <w:tcPr>
            <w:tcW w:w="120" w:type="dxa"/>
            <w:vAlign w:val="bottom"/>
          </w:tcPr>
          <w:p>
            <w:pPr>
              <w:spacing w:after="0"/>
              <w:rPr>
                <w:sz w:val="24"/>
                <w:szCs w:val="24"/>
                <w:color w:val="auto"/>
              </w:rPr>
            </w:pPr>
          </w:p>
        </w:tc>
        <w:tc>
          <w:tcPr>
            <w:tcW w:w="2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John Wasson</w:t>
            </w:r>
          </w:p>
        </w:tc>
        <w:tc>
          <w:tcPr>
            <w:tcW w:w="140" w:type="dxa"/>
            <w:vAlign w:val="bottom"/>
          </w:tcPr>
          <w:p>
            <w:pPr>
              <w:spacing w:after="0"/>
              <w:rPr>
                <w:sz w:val="20"/>
                <w:szCs w:val="20"/>
                <w:color w:val="auto"/>
              </w:rPr>
            </w:pPr>
          </w:p>
        </w:tc>
        <w:tc>
          <w:tcPr>
            <w:tcW w:w="43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w w:val="99"/>
              </w:rPr>
              <w:t>BARRY BROADUS</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Barry Broadus</w:t>
            </w:r>
          </w:p>
        </w:tc>
        <w:tc>
          <w:tcPr>
            <w:tcW w:w="14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rPr>
              <w:t>RANJIT CHADHA</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20" w:type="dxa"/>
            <w:vAlign w:val="bottom"/>
          </w:tcPr>
          <w:p>
            <w:pPr>
              <w:spacing w:after="0"/>
              <w:rPr>
                <w:sz w:val="24"/>
                <w:szCs w:val="24"/>
                <w:color w:val="auto"/>
              </w:rPr>
            </w:pPr>
          </w:p>
        </w:tc>
        <w:tc>
          <w:tcPr>
            <w:tcW w:w="2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Ranjit Chadha</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/s/</w:t>
            </w:r>
          </w:p>
        </w:tc>
        <w:tc>
          <w:tcPr>
            <w:tcW w:w="3180" w:type="dxa"/>
            <w:vAlign w:val="bottom"/>
            <w:tcBorders>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w w:val="99"/>
              </w:rPr>
              <w:t>CAROLINE ANGOORLY</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18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Caroline Angoorly</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3"/>
              </w:rPr>
              <w:t>/s/</w:t>
            </w:r>
          </w:p>
        </w:tc>
        <w:tc>
          <w:tcPr>
            <w:tcW w:w="3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MARILYN CROUTHER</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18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Marilyn Crouther</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w:t>
            </w:r>
          </w:p>
        </w:tc>
        <w:tc>
          <w:tcPr>
            <w:tcW w:w="3180" w:type="dxa"/>
            <w:vAlign w:val="bottom"/>
            <w:tcBorders>
              <w:bottom w:val="single" w:sz="8" w:color="auto"/>
            </w:tcBorders>
            <w:gridSpan w:val="2"/>
          </w:tcPr>
          <w:p>
            <w:pPr>
              <w:jc w:val="center"/>
              <w:ind w:right="870"/>
              <w:spacing w:after="0"/>
              <w:rPr>
                <w:sz w:val="20"/>
                <w:szCs w:val="20"/>
                <w:color w:val="auto"/>
              </w:rPr>
            </w:pPr>
            <w:r>
              <w:rPr>
                <w:rFonts w:ascii="Times New Roman" w:cs="Times New Roman" w:eastAsia="Times New Roman" w:hAnsi="Times New Roman"/>
                <w:sz w:val="18"/>
                <w:szCs w:val="18"/>
                <w:color w:val="auto"/>
              </w:rPr>
              <w:t>Dr. SRIKANT M. DATAR</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18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Dr. Srikant M. Datar</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rPr>
              <w:t>RANDALL MEHL</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8"/>
              </w:rPr>
              <w:t>Randall Mehl</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color w:val="auto"/>
              </w:rPr>
              <w:t>SCOTT SALMIRS</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Scott Salmirs</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12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w:t>
            </w:r>
          </w:p>
        </w:tc>
        <w:tc>
          <w:tcPr>
            <w:tcW w:w="3180" w:type="dxa"/>
            <w:vAlign w:val="bottom"/>
            <w:tcBorders>
              <w:bottom w:val="single" w:sz="8" w:color="auto"/>
            </w:tcBorders>
            <w:gridSpan w:val="2"/>
          </w:tcPr>
          <w:p>
            <w:pPr>
              <w:jc w:val="center"/>
              <w:ind w:right="810"/>
              <w:spacing w:after="0"/>
              <w:rPr>
                <w:sz w:val="20"/>
                <w:szCs w:val="20"/>
                <w:color w:val="auto"/>
              </w:rPr>
            </w:pPr>
            <w:r>
              <w:rPr>
                <w:rFonts w:ascii="Times New Roman" w:cs="Times New Roman" w:eastAsia="Times New Roman" w:hAnsi="Times New Roman"/>
                <w:sz w:val="18"/>
                <w:szCs w:val="18"/>
                <w:color w:val="auto"/>
                <w:w w:val="99"/>
              </w:rPr>
              <w:t>MICHAEL J. VAN HANDEL</w:t>
            </w:r>
          </w:p>
        </w:tc>
        <w:tc>
          <w:tcPr>
            <w:tcW w:w="140" w:type="dxa"/>
            <w:vAlign w:val="bottom"/>
          </w:tcPr>
          <w:p>
            <w:pPr>
              <w:spacing w:after="0"/>
              <w:rPr>
                <w:sz w:val="24"/>
                <w:szCs w:val="24"/>
                <w:color w:val="auto"/>
              </w:rPr>
            </w:pPr>
          </w:p>
        </w:tc>
        <w:tc>
          <w:tcPr>
            <w:tcW w:w="4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18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Michael Van Handel</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15"/>
        </w:trPr>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Dr. MICHELLE A. WILLIAMS</w:t>
            </w:r>
          </w:p>
        </w:tc>
        <w:tc>
          <w:tcPr>
            <w:tcW w:w="1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February 27, 2026</w:t>
            </w:r>
          </w:p>
        </w:tc>
      </w:tr>
      <w:tr>
        <w:trPr>
          <w:trHeight w:val="232"/>
        </w:trPr>
        <w:tc>
          <w:tcPr>
            <w:tcW w:w="1260" w:type="dxa"/>
            <w:vAlign w:val="bottom"/>
          </w:tcPr>
          <w:p>
            <w:pPr>
              <w:spacing w:after="0"/>
              <w:rPr>
                <w:sz w:val="20"/>
                <w:szCs w:val="20"/>
                <w:color w:val="auto"/>
              </w:rPr>
            </w:pPr>
          </w:p>
        </w:tc>
        <w:tc>
          <w:tcPr>
            <w:tcW w:w="3180" w:type="dxa"/>
            <w:vAlign w:val="bottom"/>
            <w:gridSpan w:val="2"/>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Dr. Michelle A. Williams</w:t>
            </w:r>
          </w:p>
        </w:tc>
        <w:tc>
          <w:tcPr>
            <w:tcW w:w="1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842"/>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00" w:type="dxa"/>
            <w:vAlign w:val="bottom"/>
            <w:gridSpan w:val="2"/>
          </w:tcPr>
          <w:p>
            <w:pPr>
              <w:jc w:val="right"/>
              <w:ind w:right="31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ICF International, Inc.</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audited the accompanying consolidated balance sheets of ICF International, Inc. (a Delaware corporation) and subsidiaries (the “Company”) as of December 31, 2025 and 2024, the related consolidated statements of comprehensive income, stockholders’ equity, and cash flows for each of the three years in the period ended December 31, 2025, and the related notes and financial statement schedule listed under Item 15(2) (collectively referred to as the “consolidated financial statements”)</w:t>
      </w:r>
      <w:r>
        <w:rPr>
          <w:rFonts w:ascii="Arial" w:cs="Arial" w:eastAsia="Arial" w:hAnsi="Arial"/>
          <w:sz w:val="16"/>
          <w:szCs w:val="16"/>
          <w:color w:val="0000FF"/>
        </w:rPr>
        <w:t>.</w:t>
      </w:r>
      <w:r>
        <w:rPr>
          <w:rFonts w:ascii="Arial" w:cs="Arial" w:eastAsia="Arial" w:hAnsi="Arial"/>
          <w:sz w:val="16"/>
          <w:szCs w:val="16"/>
          <w:color w:val="auto"/>
        </w:rPr>
        <w:t xml:space="preserve">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27, 2026 expressed an unqualified opinion.</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 estimates-at-completion</w:t>
      </w:r>
    </w:p>
    <w:p>
      <w:pPr>
        <w:spacing w:after="0" w:line="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As described further in note 2 to the consolidated financial statements, the Company recognizes revenue over time using a cost-input method on certain contracts in which costs incurred represents a reasonable measure of progress toward satisfaction of a performance obligation and transfer of control to a customer. Under the cost input method, revenue is recognized based on the proportion of total costs incurred to total estimated costs-at-completion (“EAC”). A performance obligation’s EAC includes all direct costs such as level of effort from internal staff and/or subcontractors and costs of materials, if any, needed to complete the tasks. The accounting for these contracts involves judgment, particularly as it relates to the process of estimating total costs to satisfy performance obligations. We identified the estimate of total costs to satisfy the performance obligation for contracts with revenue recognized using the cost-input method as a critical audit matter.</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principal considerations for our determination that the total estimated costs to complete for such contracts is a critical audit matter are the significant management judgments involved in the initial creation and subsequent updates to the Company’s EAC and related estimated profit to be recognized, if any, which required challenging and subjective auditor judgment in the execution of our procedures.</w:t>
      </w:r>
    </w:p>
    <w:p>
      <w:pPr>
        <w:spacing w:after="0" w:line="9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audit procedures related to the estimate of total costs to satisfy the performance obligation for contracts with revenue recognized using the cost-input method included the following, among others.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6" w:name="page57"/>
    <w:bookmarkEnd w:id="56"/>
    <w:p>
      <w:pPr>
        <w:ind w:left="760" w:hanging="378"/>
        <w:spacing w:after="0" w:line="256"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Tested the design and operating effectiveness of controls related to management’s review of estimate-at-completion analyses and the significant assumptions underlying the estimated total costs to complete.</w:t>
      </w:r>
    </w:p>
    <w:p>
      <w:pPr>
        <w:jc w:val="both"/>
        <w:ind w:left="760" w:hanging="378"/>
        <w:spacing w:after="0" w:line="246"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Tested management’s process for developing, revising, and calculating EAC for a selection of contracts, evaluated key inputs and assumptions by comparing them to relevant evidence, including contract documents, rate of cost incurred to date, subcontractor agreements, customer correspondence, documentation related to contractual milestones or other documentation, relevant to estimated costs to be incurred.</w:t>
      </w:r>
    </w:p>
    <w:p>
      <w:pPr>
        <w:ind w:left="760" w:hanging="378"/>
        <w:spacing w:after="0" w:line="264" w:lineRule="auto"/>
        <w:tabs>
          <w:tab w:leader="none" w:pos="76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Performed a lookback analysis of certain contracts completed during the year ended December 31, 2025 and comparing the EAC to the estimate of costs throughout the contract life cycle to assess the Company’s ability to develop reasonable estimates.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Arlington, Virginia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ICF International, Inc.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We have audited the internal control over financial reporting of ICF International, Inc. (a Delaware corporation) and subsidiaries (the “Company”) as of December 31, 2025,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financial statements of the Company as of and for the year ended December 31, 2025, and our report dated February 27, 2026 expressed an unqualified opinion on those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0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Arlington, Virginia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2026</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3"/>
        </w:trPr>
        <w:tc>
          <w:tcPr>
            <w:tcW w:w="7560" w:type="dxa"/>
            <w:vAlign w:val="bottom"/>
            <w:gridSpan w:val="3"/>
          </w:tcPr>
          <w:p>
            <w:pPr>
              <w:ind w:left="3780"/>
              <w:spacing w:after="0"/>
              <w:rPr>
                <w:sz w:val="20"/>
                <w:szCs w:val="20"/>
                <w:color w:val="auto"/>
              </w:rPr>
            </w:pPr>
            <w:r>
              <w:rPr>
                <w:rFonts w:ascii="Times New Roman" w:cs="Times New Roman" w:eastAsia="Times New Roman" w:hAnsi="Times New Roman"/>
                <w:sz w:val="16"/>
                <w:szCs w:val="16"/>
                <w:b w:val="1"/>
                <w:bCs w:val="1"/>
                <w:color w:val="auto"/>
              </w:rPr>
              <w:t>ICF INTERNATIONAL, INC. AND SUBSIDIARIES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60" w:type="dxa"/>
            <w:vAlign w:val="bottom"/>
          </w:tcPr>
          <w:p>
            <w:pPr>
              <w:ind w:left="420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15"/>
        </w:trPr>
        <w:tc>
          <w:tcPr>
            <w:tcW w:w="73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 thousands, except share amounts)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5,297</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Contract receivables, net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237,996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256,923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18,390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receivable</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18,087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514,438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492,074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1,252,207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81,555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 right-of-use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106,274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tax assets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2,050,171</w:t>
            </w:r>
          </w:p>
        </w:tc>
        <w:tc>
          <w:tcPr>
            <w:tcW w:w="2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2,066,353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3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123,524</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159,522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Contract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18,787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95,578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105,773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subcontractors and other direct costs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71,340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86,701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404,277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Debt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401,355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 non-current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139,935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155,935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liabilities - non-current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6,837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60,727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1,021,689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1,083,894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36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par value $.001 per share; 5,000,000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authorized; none issued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36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7"/>
                <w:szCs w:val="17"/>
                <w:color w:val="auto"/>
              </w:rPr>
              <w:t>Common stock, $.001 par value; 70,000,000 shares authorized; 24,378,749 and 24,186,962 shares</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issued; and 18,247,837 and 18,666,290 shares outstanding at December 31, 2025 and 2024, respectively</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465,779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443,463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956,077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874,772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Treasury stock, 6,130,912 and 5,520,672 shares at December 31, 2025 and 2024, respectively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(379,970)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(320,054)</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(13,428)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(15,746)</w:t>
            </w:r>
          </w:p>
        </w:tc>
        <w:tc>
          <w:tcPr>
            <w:tcW w:w="0" w:type="dxa"/>
            <w:vAlign w:val="bottom"/>
          </w:tcPr>
          <w:p>
            <w:pPr>
              <w:spacing w:after="0"/>
              <w:rPr>
                <w:sz w:val="1"/>
                <w:szCs w:val="1"/>
                <w:color w:val="auto"/>
              </w:rPr>
            </w:pPr>
          </w:p>
        </w:tc>
      </w:tr>
      <w:tr>
        <w:trPr>
          <w:trHeight w:val="196"/>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1,028,482</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982,459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2,050,171</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2,066,353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-4199890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-4182745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-2887980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-299720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ICF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1,872,851</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2,019,787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1,963,238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1,176,835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1,265,018</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Indirect and selling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505,162</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58,147</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53,476</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571,929</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565,900</w:t>
            </w:r>
          </w:p>
        </w:tc>
        <w:tc>
          <w:tcPr>
            <w:tcW w:w="100" w:type="dxa"/>
            <w:vAlign w:val="bottom"/>
          </w:tcPr>
          <w:p>
            <w:pPr>
              <w:spacing w:after="0"/>
              <w:rPr>
                <w:sz w:val="18"/>
                <w:szCs w:val="18"/>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165,842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net</w:t>
            </w: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(29,590)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w:t>
            </w:r>
          </w:p>
        </w:tc>
      </w:tr>
      <w:tr>
        <w:trPr>
          <w:trHeight w:val="216"/>
        </w:trPr>
        <w:tc>
          <w:tcPr>
            <w:tcW w:w="6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(2,639)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FF0FC"/>
          </w:tcPr>
          <w:p>
            <w:pPr>
              <w:spacing w:after="0"/>
              <w:rPr>
                <w:sz w:val="18"/>
                <w:szCs w:val="18"/>
                <w:color w:val="auto"/>
              </w:rPr>
            </w:pPr>
          </w:p>
        </w:tc>
      </w:tr>
      <w:tr>
        <w:trPr>
          <w:trHeight w:val="209"/>
        </w:trPr>
        <w:tc>
          <w:tcPr>
            <w:tcW w:w="6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111,993</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138,058</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96,547</w:t>
            </w:r>
          </w:p>
        </w:tc>
        <w:tc>
          <w:tcPr>
            <w:tcW w:w="100" w:type="dxa"/>
            <w:vAlign w:val="bottom"/>
            <w:tcBorders>
              <w:top w:val="single" w:sz="8" w:color="CFF0FC"/>
            </w:tcBorders>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110,170</w:t>
            </w:r>
          </w:p>
        </w:tc>
        <w:tc>
          <w:tcPr>
            <w:tcW w:w="2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82,612</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20"/>
                <w:szCs w:val="20"/>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1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7"/>
                <w:szCs w:val="17"/>
                <w:color w:val="auto"/>
              </w:rPr>
            </w:pPr>
          </w:p>
        </w:tc>
        <w:tc>
          <w:tcPr>
            <w:tcW w:w="4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5.82</w:t>
            </w:r>
          </w:p>
        </w:tc>
        <w:tc>
          <w:tcPr>
            <w:tcW w:w="280" w:type="dxa"/>
            <w:vAlign w:val="bottom"/>
          </w:tcPr>
          <w:p>
            <w:pPr>
              <w:spacing w:after="0"/>
              <w:rPr>
                <w:sz w:val="17"/>
                <w:szCs w:val="17"/>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1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61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18,516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18,925</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18,994</w:t>
            </w:r>
          </w:p>
        </w:tc>
        <w:tc>
          <w:tcPr>
            <w:tcW w:w="1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w:t>
            </w:r>
          </w:p>
        </w:tc>
      </w:tr>
      <w:tr>
        <w:trPr>
          <w:trHeight w:val="20"/>
        </w:trPr>
        <w:tc>
          <w:tcPr>
            <w:tcW w:w="6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93,906</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106,309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78,860</w:t>
            </w:r>
          </w:p>
        </w:tc>
        <w:tc>
          <w:tcPr>
            <w:tcW w:w="100" w:type="dxa"/>
            <w:vAlign w:val="bottom"/>
            <w:shd w:val="clear" w:color="auto" w:fill="CFF0FC"/>
          </w:tcPr>
          <w:p>
            <w:pPr>
              <w:spacing w:after="0"/>
              <w:rPr>
                <w:sz w:val="19"/>
                <w:szCs w:val="19"/>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-2965450</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-2399665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-2399665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-2117090</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-2117090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-1533525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-1517015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-1533525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-1517015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-933450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-916940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-933450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-916940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ICF International,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ectPr>
          <w:pgSz w:w="11900" w:h="16838" w:orient="portrait"/>
          <w:cols w:equalWidth="0" w:num="1">
            <w:col w:w="10900"/>
          </w:cols>
          <w:pgMar w:left="500" w:top="9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ind w:left="40"/>
        <w:spacing w:after="0" w:line="226" w:lineRule="auto"/>
        <w:rPr>
          <w:sz w:val="20"/>
          <w:szCs w:val="20"/>
          <w:color w:val="auto"/>
        </w:rPr>
      </w:pPr>
      <w:r>
        <w:rPr>
          <w:rFonts w:ascii="Times New Roman" w:cs="Times New Roman" w:eastAsia="Times New Roman" w:hAnsi="Times New Roman"/>
          <w:sz w:val="14"/>
          <w:szCs w:val="14"/>
          <w:color w:val="auto"/>
        </w:rPr>
        <w:t>Other comprehensive loss</w:t>
      </w:r>
    </w:p>
    <w:p>
      <w:pPr>
        <w:ind w:left="40"/>
        <w:spacing w:after="0" w:line="222" w:lineRule="auto"/>
        <w:rPr>
          <w:sz w:val="20"/>
          <w:szCs w:val="20"/>
          <w:color w:val="auto"/>
        </w:rPr>
      </w:pPr>
      <w:r>
        <w:rPr>
          <w:rFonts w:ascii="Times New Roman" w:cs="Times New Roman" w:eastAsia="Times New Roman" w:hAnsi="Times New Roman"/>
          <w:sz w:val="14"/>
          <w:szCs w:val="14"/>
          <w:color w:val="auto"/>
        </w:rPr>
        <w:t>Equity compensation</w:t>
      </w:r>
    </w:p>
    <w:p>
      <w:pPr>
        <w:ind w:left="40"/>
        <w:spacing w:after="0" w:line="221" w:lineRule="auto"/>
        <w:rPr>
          <w:sz w:val="20"/>
          <w:szCs w:val="20"/>
          <w:color w:val="auto"/>
        </w:rPr>
      </w:pPr>
      <w:r>
        <w:rPr>
          <w:rFonts w:ascii="Times New Roman" w:cs="Times New Roman" w:eastAsia="Times New Roman" w:hAnsi="Times New Roman"/>
          <w:sz w:val="14"/>
          <w:szCs w:val="14"/>
          <w:color w:val="auto"/>
        </w:rPr>
        <w:t>Exercise of stock options</w:t>
      </w:r>
    </w:p>
    <w:p>
      <w:pPr>
        <w:ind w:firstLine="36"/>
        <w:spacing w:after="0" w:line="221" w:lineRule="auto"/>
        <w:rPr>
          <w:sz w:val="20"/>
          <w:szCs w:val="20"/>
          <w:color w:val="auto"/>
        </w:rPr>
      </w:pPr>
      <w:r>
        <w:rPr>
          <w:rFonts w:ascii="Times New Roman" w:cs="Times New Roman" w:eastAsia="Times New Roman" w:hAnsi="Times New Roman"/>
          <w:sz w:val="14"/>
          <w:szCs w:val="14"/>
          <w:color w:val="auto"/>
        </w:rPr>
        <w:t>Issuance of shares pursuant to employee stock purchase plan and vesting of restricted stock units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payments for stock buybacks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ind w:left="40"/>
        <w:spacing w:after="0" w:line="226" w:lineRule="auto"/>
        <w:rPr>
          <w:sz w:val="20"/>
          <w:szCs w:val="20"/>
          <w:color w:val="auto"/>
        </w:rPr>
      </w:pPr>
      <w:r>
        <w:rPr>
          <w:rFonts w:ascii="Times New Roman" w:cs="Times New Roman" w:eastAsia="Times New Roman" w:hAnsi="Times New Roman"/>
          <w:sz w:val="14"/>
          <w:szCs w:val="14"/>
          <w:color w:val="auto"/>
        </w:rPr>
        <w:t>Equity compensation</w:t>
      </w:r>
    </w:p>
    <w:p>
      <w:pPr>
        <w:ind w:left="40"/>
        <w:spacing w:after="0" w:line="222" w:lineRule="auto"/>
        <w:rPr>
          <w:sz w:val="20"/>
          <w:szCs w:val="20"/>
          <w:color w:val="auto"/>
        </w:rPr>
      </w:pPr>
      <w:r>
        <w:rPr>
          <w:rFonts w:ascii="Times New Roman" w:cs="Times New Roman" w:eastAsia="Times New Roman" w:hAnsi="Times New Roman"/>
          <w:sz w:val="14"/>
          <w:szCs w:val="14"/>
          <w:color w:val="auto"/>
        </w:rPr>
        <w:t>Exercise of stock options</w:t>
      </w:r>
    </w:p>
    <w:p>
      <w:pPr>
        <w:ind w:firstLine="36"/>
        <w:spacing w:after="0" w:line="221" w:lineRule="auto"/>
        <w:rPr>
          <w:sz w:val="20"/>
          <w:szCs w:val="20"/>
          <w:color w:val="auto"/>
        </w:rPr>
      </w:pPr>
      <w:r>
        <w:rPr>
          <w:rFonts w:ascii="Times New Roman" w:cs="Times New Roman" w:eastAsia="Times New Roman" w:hAnsi="Times New Roman"/>
          <w:sz w:val="14"/>
          <w:szCs w:val="14"/>
          <w:color w:val="auto"/>
        </w:rPr>
        <w:t>Issuance of shares pursuant to employee stock purchase plan and vesting of restricted stock units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payments for stock buybacks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declared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ind w:left="40"/>
        <w:spacing w:after="0" w:line="226" w:lineRule="auto"/>
        <w:rPr>
          <w:sz w:val="20"/>
          <w:szCs w:val="20"/>
          <w:color w:val="auto"/>
        </w:rPr>
      </w:pPr>
      <w:r>
        <w:rPr>
          <w:rFonts w:ascii="Times New Roman" w:cs="Times New Roman" w:eastAsia="Times New Roman" w:hAnsi="Times New Roman"/>
          <w:sz w:val="14"/>
          <w:szCs w:val="14"/>
          <w:color w:val="auto"/>
        </w:rPr>
        <w:t>Other comprehensive income</w:t>
      </w:r>
    </w:p>
    <w:p>
      <w:pPr>
        <w:ind w:left="40"/>
        <w:spacing w:after="0" w:line="222" w:lineRule="auto"/>
        <w:rPr>
          <w:sz w:val="20"/>
          <w:szCs w:val="20"/>
          <w:color w:val="auto"/>
        </w:rPr>
      </w:pPr>
      <w:r>
        <w:rPr>
          <w:rFonts w:ascii="Times New Roman" w:cs="Times New Roman" w:eastAsia="Times New Roman" w:hAnsi="Times New Roman"/>
          <w:sz w:val="14"/>
          <w:szCs w:val="14"/>
          <w:color w:val="auto"/>
        </w:rPr>
        <w:t>Equity compensation</w:t>
      </w:r>
    </w:p>
    <w:p>
      <w:pPr>
        <w:ind w:firstLine="36"/>
        <w:spacing w:after="0" w:line="221" w:lineRule="auto"/>
        <w:rPr>
          <w:sz w:val="20"/>
          <w:szCs w:val="20"/>
          <w:color w:val="auto"/>
        </w:rPr>
      </w:pPr>
      <w:r>
        <w:rPr>
          <w:rFonts w:ascii="Times New Roman" w:cs="Times New Roman" w:eastAsia="Times New Roman" w:hAnsi="Times New Roman"/>
          <w:sz w:val="14"/>
          <w:szCs w:val="14"/>
          <w:color w:val="auto"/>
        </w:rPr>
        <w:t>Issuance of shares pursuant to employee stock purchase plan and vesting of restricted stock units</w:t>
      </w:r>
    </w:p>
    <w:p>
      <w:pPr>
        <w:ind w:left="40"/>
        <w:spacing w:after="0" w:line="222" w:lineRule="auto"/>
        <w:rPr>
          <w:sz w:val="20"/>
          <w:szCs w:val="20"/>
          <w:color w:val="auto"/>
        </w:rPr>
      </w:pPr>
      <w:r>
        <w:rPr>
          <w:rFonts w:ascii="Times New Roman" w:cs="Times New Roman" w:eastAsia="Times New Roman" w:hAnsi="Times New Roman"/>
          <w:sz w:val="14"/>
          <w:szCs w:val="14"/>
          <w:color w:val="auto"/>
        </w:rPr>
        <w:t>Net payments for stock buybacks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Addition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gridSpan w:val="5"/>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52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al</w:t>
            </w:r>
          </w:p>
        </w:tc>
        <w:tc>
          <w:tcPr>
            <w:tcW w:w="2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20" w:type="dxa"/>
            <w:vAlign w:val="bottom"/>
            <w:gridSpan w:val="4"/>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0" w:type="dxa"/>
            <w:vAlign w:val="bottom"/>
            <w:tcBorders>
              <w:bottom w:val="single" w:sz="8" w:color="auto"/>
            </w:tcBorders>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3"/>
              </w:rPr>
              <w: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0"/>
                <w:szCs w:val="10"/>
                <w:color w:val="auto"/>
              </w:rPr>
            </w:pPr>
          </w:p>
        </w:tc>
        <w:tc>
          <w:tcPr>
            <w:tcW w:w="4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280" w:type="dxa"/>
            <w:vAlign w:val="bottom"/>
          </w:tcPr>
          <w:p>
            <w:pPr>
              <w:spacing w:after="0"/>
              <w:rPr>
                <w:sz w:val="10"/>
                <w:szCs w:val="10"/>
                <w:color w:val="auto"/>
              </w:rPr>
            </w:pP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0"/>
                <w:szCs w:val="10"/>
                <w:color w:val="auto"/>
              </w:rPr>
            </w:pPr>
          </w:p>
        </w:tc>
        <w:tc>
          <w:tcPr>
            <w:tcW w:w="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Earning</w:t>
            </w: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64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nt</w:t>
            </w:r>
          </w:p>
        </w:tc>
        <w:tc>
          <w:tcPr>
            <w:tcW w:w="2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w:t>
            </w:r>
          </w:p>
        </w:tc>
        <w:tc>
          <w:tcPr>
            <w:tcW w:w="2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18,883</w:t>
            </w:r>
          </w:p>
        </w:tc>
        <w:tc>
          <w:tcPr>
            <w:tcW w:w="120" w:type="dxa"/>
            <w:vAlign w:val="bottom"/>
          </w:tcPr>
          <w:p>
            <w:pPr>
              <w:spacing w:after="0"/>
              <w:rPr>
                <w:sz w:val="10"/>
                <w:szCs w:val="10"/>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vMerge w:val="restart"/>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401,95</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703,03</w:t>
            </w: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(243,66</w:t>
            </w:r>
          </w:p>
        </w:tc>
        <w:tc>
          <w:tcPr>
            <w:tcW w:w="12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(8,133)</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853,211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gridSpan w:val="2"/>
            <w:vMerge w:val="continue"/>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82,612</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82,612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(23,489)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(23,489)</w:t>
            </w:r>
          </w:p>
        </w:tc>
        <w:tc>
          <w:tcPr>
            <w:tcW w:w="0" w:type="dxa"/>
            <w:vAlign w:val="bottom"/>
          </w:tcPr>
          <w:p>
            <w:pPr>
              <w:spacing w:after="0"/>
              <w:rPr>
                <w:sz w:val="1"/>
                <w:szCs w:val="1"/>
                <w:color w:val="auto"/>
              </w:rPr>
            </w:pPr>
          </w:p>
        </w:tc>
      </w:tr>
      <w:tr>
        <w:trPr>
          <w:trHeight w:val="148"/>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(10,54</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(10,543)</w:t>
            </w:r>
          </w:p>
        </w:tc>
        <w:tc>
          <w:tcPr>
            <w:tcW w:w="0" w:type="dxa"/>
            <w:vAlign w:val="bottom"/>
          </w:tcPr>
          <w:p>
            <w:pPr>
              <w:spacing w:after="0"/>
              <w:rPr>
                <w:sz w:val="1"/>
                <w:szCs w:val="1"/>
                <w:color w:val="auto"/>
              </w:rPr>
            </w:pPr>
          </w:p>
        </w:tc>
      </w:tr>
      <w:tr>
        <w:trPr>
          <w:trHeight w:val="171"/>
        </w:trPr>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18,846</w:t>
            </w:r>
          </w:p>
        </w:tc>
        <w:tc>
          <w:tcPr>
            <w:tcW w:w="1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vMerge w:val="restart"/>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421,50</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775,09</w:t>
            </w: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(267,15</w:t>
            </w:r>
          </w:p>
        </w:tc>
        <w:tc>
          <w:tcPr>
            <w:tcW w:w="12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(11,885)</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917,585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00" w:type="dxa"/>
            <w:vAlign w:val="bottom"/>
            <w:gridSpan w:val="2"/>
            <w:vMerge w:val="continue"/>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110,17</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110,170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(3,861)</w:t>
            </w: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(52,899)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(52,899)</w:t>
            </w:r>
          </w:p>
        </w:tc>
        <w:tc>
          <w:tcPr>
            <w:tcW w:w="0" w:type="dxa"/>
            <w:vAlign w:val="bottom"/>
          </w:tcPr>
          <w:p>
            <w:pPr>
              <w:spacing w:after="0"/>
              <w:rPr>
                <w:sz w:val="1"/>
                <w:szCs w:val="1"/>
                <w:color w:val="auto"/>
              </w:rPr>
            </w:pPr>
          </w:p>
        </w:tc>
      </w:tr>
      <w:tr>
        <w:trPr>
          <w:trHeight w:val="148"/>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(10,497)</w:t>
            </w:r>
          </w:p>
        </w:tc>
        <w:tc>
          <w:tcPr>
            <w:tcW w:w="0" w:type="dxa"/>
            <w:vAlign w:val="bottom"/>
          </w:tcPr>
          <w:p>
            <w:pPr>
              <w:spacing w:after="0"/>
              <w:rPr>
                <w:sz w:val="1"/>
                <w:szCs w:val="1"/>
                <w:color w:val="auto"/>
              </w:rPr>
            </w:pPr>
          </w:p>
        </w:tc>
      </w:tr>
      <w:tr>
        <w:trPr>
          <w:trHeight w:val="171"/>
        </w:trPr>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18,666</w:t>
            </w:r>
          </w:p>
        </w:tc>
        <w:tc>
          <w:tcPr>
            <w:tcW w:w="12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80" w:type="dxa"/>
            <w:vAlign w:val="bottom"/>
            <w:vMerge w:val="restart"/>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443,46</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874,77</w:t>
            </w: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(320,05</w:t>
            </w:r>
          </w:p>
        </w:tc>
        <w:tc>
          <w:tcPr>
            <w:tcW w:w="12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(15,746)</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982,459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00" w:type="dxa"/>
            <w:vAlign w:val="bottom"/>
            <w:gridSpan w:val="2"/>
            <w:vMerge w:val="continue"/>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91,588</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91,588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(59,916)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-2935605</wp:posOffset>
            </wp:positionV>
            <wp:extent cx="691769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6917690" cy="18859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-2652395</wp:posOffset>
            </wp:positionV>
            <wp:extent cx="691769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-2463800</wp:posOffset>
            </wp:positionV>
            <wp:extent cx="691769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-2181225</wp:posOffset>
            </wp:positionV>
            <wp:extent cx="691769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-1889760</wp:posOffset>
            </wp:positionV>
            <wp:extent cx="691769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6917690" cy="18859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-1512570</wp:posOffset>
            </wp:positionV>
            <wp:extent cx="691769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-1323975</wp:posOffset>
            </wp:positionV>
            <wp:extent cx="691769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-1040765</wp:posOffset>
            </wp:positionV>
            <wp:extent cx="691769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-749300</wp:posOffset>
            </wp:positionV>
            <wp:extent cx="691769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6917690" cy="188595"/>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-466725</wp:posOffset>
            </wp:positionV>
            <wp:extent cx="691769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6917690" cy="93980"/>
                    </a:xfrm>
                    <a:prstGeom prst="rect">
                      <a:avLst/>
                    </a:prstGeom>
                    <a:noFill/>
                  </pic:spPr>
                </pic:pic>
              </a:graphicData>
            </a:graphic>
          </wp:anchor>
        </w:drawing>
        <w:drawing>
          <wp:anchor simplePos="0" relativeHeight="251657728" behindDoc="1" locked="0" layoutInCell="0" allowOverlap="1">
            <wp:simplePos x="0" y="0"/>
            <wp:positionH relativeFrom="column">
              <wp:posOffset>-2879725</wp:posOffset>
            </wp:positionH>
            <wp:positionV relativeFrom="paragraph">
              <wp:posOffset>-278130</wp:posOffset>
            </wp:positionV>
            <wp:extent cx="691769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691769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80" w:space="160"/>
            <w:col w:w="6360"/>
          </w:cols>
          <w:pgMar w:left="500" w:top="981" w:right="49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45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Dividends declared</w:t>
            </w: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(10,28</w:t>
            </w:r>
          </w:p>
        </w:tc>
        <w:tc>
          <w:tcPr>
            <w:tcW w:w="2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CFF0FC"/>
            </w:tcBorders>
            <w:vMerge w:val="continue"/>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(10,283)</w:t>
            </w:r>
          </w:p>
        </w:tc>
        <w:tc>
          <w:tcPr>
            <w:tcW w:w="0" w:type="dxa"/>
            <w:vAlign w:val="bottom"/>
          </w:tcPr>
          <w:p>
            <w:pPr>
              <w:spacing w:after="0"/>
              <w:rPr>
                <w:sz w:val="1"/>
                <w:szCs w:val="1"/>
                <w:color w:val="auto"/>
              </w:rPr>
            </w:pPr>
          </w:p>
        </w:tc>
      </w:tr>
      <w:tr>
        <w:trPr>
          <w:trHeight w:val="119"/>
        </w:trPr>
        <w:tc>
          <w:tcPr>
            <w:tcW w:w="4540" w:type="dxa"/>
            <w:vAlign w:val="bottom"/>
            <w:tcBorders>
              <w:top w:val="single" w:sz="8" w:color="CFF0FC"/>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465,77</w:t>
            </w: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956,07</w:t>
            </w:r>
          </w:p>
        </w:tc>
        <w:tc>
          <w:tcPr>
            <w:tcW w:w="200" w:type="dxa"/>
            <w:vAlign w:val="bottom"/>
            <w:tcBorders>
              <w:top w:val="single" w:sz="8" w:color="CFF0F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(379,97</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1,028,4</w:t>
            </w:r>
          </w:p>
        </w:tc>
        <w:tc>
          <w:tcPr>
            <w:tcW w:w="12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540" w:type="dxa"/>
            <w:vAlign w:val="bottom"/>
            <w:vMerge w:val="continue"/>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18,248</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24</w:t>
            </w: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6,130</w:t>
            </w:r>
          </w:p>
        </w:tc>
        <w:tc>
          <w:tcPr>
            <w:tcW w:w="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(13,428)</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5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-222250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-222250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-222250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4631055</wp:posOffset>
            </wp:positionH>
            <wp:positionV relativeFrom="paragraph">
              <wp:posOffset>-222250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-222250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-222250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6311265</wp:posOffset>
            </wp:positionH>
            <wp:positionV relativeFrom="paragraph">
              <wp:posOffset>-222250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6842760</wp:posOffset>
            </wp:positionH>
            <wp:positionV relativeFrom="paragraph">
              <wp:posOffset>-222250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981" w:right="499" w:bottom="1440" w:gutter="0" w:footer="0" w:header="0"/>
          <w:type w:val="continuous"/>
        </w:sectPr>
      </w:pPr>
    </w:p>
    <w:bookmarkStart w:id="61" w:name="page62"/>
    <w:bookmarkEnd w:id="61"/>
    <w:p>
      <w:pPr>
        <w:ind w:left="4080"/>
        <w:spacing w:after="0"/>
        <w:rPr>
          <w:sz w:val="20"/>
          <w:szCs w:val="20"/>
          <w:color w:val="auto"/>
        </w:rPr>
      </w:pPr>
      <w:r>
        <w:rPr>
          <w:rFonts w:ascii="Times New Roman" w:cs="Times New Roman" w:eastAsia="Times New Roman" w:hAnsi="Times New Roman"/>
          <w:sz w:val="18"/>
          <w:szCs w:val="18"/>
          <w:b w:val="1"/>
          <w:bCs w:val="1"/>
          <w:color w:val="auto"/>
        </w:rPr>
        <w:t>ICF International, Inc. and Subsidiaries</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91,588</w:t>
            </w:r>
          </w:p>
        </w:tc>
        <w:tc>
          <w:tcPr>
            <w:tcW w:w="160" w:type="dxa"/>
            <w:vAlign w:val="bottom"/>
          </w:tcPr>
          <w:p>
            <w:pPr>
              <w:spacing w:after="0"/>
              <w:rPr>
                <w:sz w:val="14"/>
                <w:szCs w:val="14"/>
                <w:color w:val="auto"/>
              </w:rPr>
            </w:pPr>
          </w:p>
        </w:tc>
        <w:tc>
          <w:tcPr>
            <w:tcW w:w="32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110,170</w:t>
            </w:r>
          </w:p>
        </w:tc>
        <w:tc>
          <w:tcPr>
            <w:tcW w:w="260" w:type="dxa"/>
            <w:vAlign w:val="bottom"/>
          </w:tcPr>
          <w:p>
            <w:pPr>
              <w:spacing w:after="0"/>
              <w:rPr>
                <w:sz w:val="14"/>
                <w:szCs w:val="14"/>
                <w:color w:val="auto"/>
              </w:rPr>
            </w:pPr>
          </w:p>
        </w:tc>
        <w:tc>
          <w:tcPr>
            <w:tcW w:w="1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82,612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Provision for credit losses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Deferred income taxes and unrecognized income tax benefits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5,078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(24,336)</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(17,634)</w:t>
            </w:r>
          </w:p>
        </w:tc>
        <w:tc>
          <w:tcPr>
            <w:tcW w:w="0" w:type="dxa"/>
            <w:vAlign w:val="bottom"/>
          </w:tcPr>
          <w:p>
            <w:pPr>
              <w:spacing w:after="0"/>
              <w:rPr>
                <w:sz w:val="1"/>
                <w:szCs w:val="1"/>
                <w:color w:val="auto"/>
              </w:rPr>
            </w:pPr>
          </w:p>
        </w:tc>
      </w:tr>
      <w:tr>
        <w:trPr>
          <w:trHeight w:val="162"/>
        </w:trPr>
        <w:tc>
          <w:tcPr>
            <w:tcW w:w="740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Non-cash equity compensation</w:t>
            </w:r>
          </w:p>
        </w:tc>
        <w:tc>
          <w:tcPr>
            <w:tcW w:w="2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17,686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16,722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58,147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53,476</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60,738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Gain on divestiture of a business</w:t>
            </w:r>
          </w:p>
        </w:tc>
        <w:tc>
          <w:tcPr>
            <w:tcW w:w="26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(2,009)</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(7,590)</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280"/>
              <w:spacing w:after="0" w:line="162" w:lineRule="exact"/>
              <w:rPr>
                <w:sz w:val="20"/>
                <w:szCs w:val="20"/>
                <w:color w:val="auto"/>
              </w:rPr>
            </w:pPr>
            <w:r>
              <w:rPr>
                <w:rFonts w:ascii="Times New Roman" w:cs="Times New Roman" w:eastAsia="Times New Roman" w:hAnsi="Times New Roman"/>
                <w:sz w:val="15"/>
                <w:szCs w:val="15"/>
                <w:color w:val="auto"/>
              </w:rPr>
              <w:t>Other operating adjustments, net</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2,325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4,647</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8,294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28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 net of the effect of acquisitions: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Net contract assets and liabilities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25,369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14,668</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(38,422)</w:t>
            </w:r>
          </w:p>
        </w:tc>
        <w:tc>
          <w:tcPr>
            <w:tcW w:w="0" w:type="dxa"/>
            <w:vAlign w:val="bottom"/>
          </w:tcPr>
          <w:p>
            <w:pPr>
              <w:spacing w:after="0"/>
              <w:rPr>
                <w:sz w:val="1"/>
                <w:szCs w:val="1"/>
                <w:color w:val="auto"/>
              </w:rPr>
            </w:pPr>
          </w:p>
        </w:tc>
      </w:tr>
      <w:tr>
        <w:trPr>
          <w:trHeight w:val="162"/>
        </w:trPr>
        <w:tc>
          <w:tcPr>
            <w:tcW w:w="740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Contract receivables</w:t>
            </w:r>
          </w:p>
        </w:tc>
        <w:tc>
          <w:tcPr>
            <w:tcW w:w="26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22,031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(49,538)</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20,939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Prepaid expenses and other assets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2,944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3,496</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18,579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Operating lease assets and liabilities, net</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(8,366)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(4,755)</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3,544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(36,827)</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24,152</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(1,489)</w:t>
            </w:r>
          </w:p>
        </w:tc>
        <w:tc>
          <w:tcPr>
            <w:tcW w:w="0" w:type="dxa"/>
            <w:vAlign w:val="bottom"/>
          </w:tcPr>
          <w:p>
            <w:pPr>
              <w:spacing w:after="0"/>
              <w:rPr>
                <w:sz w:val="1"/>
                <w:szCs w:val="1"/>
                <w:color w:val="auto"/>
              </w:rPr>
            </w:pPr>
          </w:p>
        </w:tc>
      </w:tr>
      <w:tr>
        <w:trPr>
          <w:trHeight w:val="162"/>
        </w:trPr>
        <w:tc>
          <w:tcPr>
            <w:tcW w:w="740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Accrued salaries and benefits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(10,843)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18,048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Accrued subcontractors and other direct costs</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(1,952)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4,353</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(269)</w:t>
            </w:r>
          </w:p>
        </w:tc>
        <w:tc>
          <w:tcPr>
            <w:tcW w:w="0" w:type="dxa"/>
            <w:vAlign w:val="bottom"/>
          </w:tcPr>
          <w:p>
            <w:pPr>
              <w:spacing w:after="0"/>
              <w:rPr>
                <w:sz w:val="1"/>
                <w:szCs w:val="1"/>
                <w:color w:val="auto"/>
              </w:rPr>
            </w:pPr>
          </w:p>
        </w:tc>
      </w:tr>
      <w:tr>
        <w:trPr>
          <w:trHeight w:val="162"/>
        </w:trPr>
        <w:tc>
          <w:tcPr>
            <w:tcW w:w="740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8,361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(4,757)</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400"/>
              <w:spacing w:after="0" w:line="162" w:lineRule="exact"/>
              <w:rPr>
                <w:sz w:val="20"/>
                <w:szCs w:val="20"/>
                <w:color w:val="auto"/>
              </w:rPr>
            </w:pPr>
            <w:r>
              <w:rPr>
                <w:rFonts w:ascii="Times New Roman" w:cs="Times New Roman" w:eastAsia="Times New Roman" w:hAnsi="Times New Roman"/>
                <w:sz w:val="15"/>
                <w:szCs w:val="15"/>
                <w:color w:val="auto"/>
              </w:rPr>
              <w:t>Income tax receivable and payable</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(11,694)</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(5,391)</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9,277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40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(2,193)</w:t>
            </w: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141,870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171,544</w:t>
            </w: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152,383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Payments for purchase of property and equipment and capitalized software</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(21,659)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(21,430)</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(22,337)</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Payments for business acquisitions, net of cash acquired</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(55,007)</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(32,664)</w:t>
            </w: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divestiture of a business</w:t>
            </w:r>
          </w:p>
        </w:tc>
        <w:tc>
          <w:tcPr>
            <w:tcW w:w="26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1,985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51,328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investing, net</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60" w:type="dxa"/>
            <w:vAlign w:val="bottom"/>
          </w:tcPr>
          <w:p>
            <w:pPr>
              <w:spacing w:after="0"/>
              <w:rPr>
                <w:sz w:val="13"/>
                <w:szCs w:val="13"/>
                <w:color w:val="auto"/>
              </w:rPr>
            </w:pPr>
          </w:p>
        </w:tc>
        <w:tc>
          <w:tcPr>
            <w:tcW w:w="114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(21,511)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(74,805)</w:t>
            </w:r>
          </w:p>
        </w:tc>
        <w:tc>
          <w:tcPr>
            <w:tcW w:w="160" w:type="dxa"/>
            <w:vAlign w:val="bottom"/>
          </w:tcPr>
          <w:p>
            <w:pPr>
              <w:spacing w:after="0"/>
              <w:rPr>
                <w:sz w:val="13"/>
                <w:szCs w:val="13"/>
                <w:color w:val="auto"/>
              </w:rPr>
            </w:pPr>
          </w:p>
        </w:tc>
        <w:tc>
          <w:tcPr>
            <w:tcW w:w="88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(3,673)</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Advances from working capital facilities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1,348,036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1,227,926</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1,245,198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Payments on working capital facilities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(1,359,527)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(1,247,791)</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(1,372,474)</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Proceeds from other short-term borrowings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20,206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62,080</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48,532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Repayments of other short-term borrowings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(24,768)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(66,408)</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(41,653)</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Receipt of restricted contract funds</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1,251</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7,672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Payment of restricted contract funds</w:t>
            </w:r>
          </w:p>
        </w:tc>
        <w:tc>
          <w:tcPr>
            <w:tcW w:w="260" w:type="dxa"/>
            <w:vAlign w:val="bottom"/>
          </w:tcPr>
          <w:p>
            <w:pPr>
              <w:spacing w:after="0"/>
              <w:rPr>
                <w:sz w:val="14"/>
                <w:szCs w:val="14"/>
                <w:color w:val="auto"/>
              </w:rPr>
            </w:pPr>
          </w:p>
        </w:tc>
        <w:tc>
          <w:tcPr>
            <w:tcW w:w="11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(3,267)</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(8,084)</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Dividends paid</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(10,356)</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(10,507)</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(10,537)</w:t>
            </w: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Net payments for stockholder issuances and share repurchases</w:t>
            </w:r>
          </w:p>
        </w:tc>
        <w:tc>
          <w:tcPr>
            <w:tcW w:w="260" w:type="dxa"/>
            <w:vAlign w:val="bottom"/>
          </w:tcPr>
          <w:p>
            <w:pPr>
              <w:spacing w:after="0"/>
              <w:rPr>
                <w:sz w:val="14"/>
                <w:szCs w:val="14"/>
                <w:color w:val="auto"/>
              </w:rPr>
            </w:pPr>
          </w:p>
        </w:tc>
        <w:tc>
          <w:tcPr>
            <w:tcW w:w="114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(55,286)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(47,767)</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(19,083)</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 financing, net</w:t>
            </w:r>
          </w:p>
        </w:tc>
        <w:tc>
          <w:tcPr>
            <w:tcW w:w="2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(2,612)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(2,415)</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(2,159)</w:t>
            </w: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260" w:type="dxa"/>
            <w:vAlign w:val="bottom"/>
          </w:tcPr>
          <w:p>
            <w:pPr>
              <w:spacing w:after="0"/>
              <w:rPr>
                <w:sz w:val="13"/>
                <w:szCs w:val="13"/>
                <w:color w:val="auto"/>
              </w:rPr>
            </w:pPr>
          </w:p>
        </w:tc>
        <w:tc>
          <w:tcPr>
            <w:tcW w:w="114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(84,307)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(86,898)</w:t>
            </w:r>
          </w:p>
        </w:tc>
        <w:tc>
          <w:tcPr>
            <w:tcW w:w="160" w:type="dxa"/>
            <w:vAlign w:val="bottom"/>
          </w:tcPr>
          <w:p>
            <w:pPr>
              <w:spacing w:after="0"/>
              <w:rPr>
                <w:sz w:val="13"/>
                <w:szCs w:val="13"/>
                <w:color w:val="auto"/>
              </w:rPr>
            </w:pPr>
          </w:p>
        </w:tc>
        <w:tc>
          <w:tcPr>
            <w:tcW w:w="88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(152,588)</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Effect of Exchange Rate Changes on Cash, Cash Equivalents, and Restricted Cash</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(473)</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Net Change in Cash, Cash Equivalents, and Restricted Cash</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37,507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9,368</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(3,519)</w:t>
            </w:r>
          </w:p>
        </w:tc>
        <w:tc>
          <w:tcPr>
            <w:tcW w:w="0" w:type="dxa"/>
            <w:vAlign w:val="bottom"/>
          </w:tcPr>
          <w:p>
            <w:pPr>
              <w:spacing w:after="0"/>
              <w:rPr>
                <w:sz w:val="1"/>
                <w:szCs w:val="1"/>
                <w:color w:val="auto"/>
              </w:rPr>
            </w:pPr>
          </w:p>
        </w:tc>
      </w:tr>
      <w:tr>
        <w:trPr>
          <w:trHeight w:val="162"/>
        </w:trPr>
        <w:tc>
          <w:tcPr>
            <w:tcW w:w="74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Beginning of Period</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18,817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9,449</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12,968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4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 End of Period</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56,324</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18,817</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9,449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4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Cash paid during the period for: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Interest</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29,278</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30,046</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34,093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400" w:type="dxa"/>
            <w:vAlign w:val="bottom"/>
            <w:tcBorders>
              <w:top w:val="single" w:sz="8" w:color="CFF0FC"/>
            </w:tcBorders>
          </w:tcPr>
          <w:p>
            <w:pPr>
              <w:ind w:left="140"/>
              <w:spacing w:after="0" w:line="143" w:lineRule="exact"/>
              <w:rPr>
                <w:sz w:val="20"/>
                <w:szCs w:val="20"/>
                <w:color w:val="auto"/>
              </w:rPr>
            </w:pPr>
            <w:r>
              <w:rPr>
                <w:rFonts w:ascii="Times New Roman" w:cs="Times New Roman" w:eastAsia="Times New Roman" w:hAnsi="Times New Roman"/>
                <w:sz w:val="15"/>
                <w:szCs w:val="15"/>
                <w:color w:val="auto"/>
              </w:rPr>
              <w:t>Non-cash investing and financing transactions:</w:t>
            </w: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400" w:type="dxa"/>
            <w:vAlign w:val="bottom"/>
            <w:tcBorders>
              <w:bottom w:val="single" w:sz="8" w:color="CFF0FC"/>
            </w:tcBorders>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Tenant improvements funded by lessor</w:t>
            </w: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400" w:type="dxa"/>
            <w:vAlign w:val="bottom"/>
          </w:tcPr>
          <w:p>
            <w:pPr>
              <w:ind w:left="200"/>
              <w:spacing w:after="0" w:line="143" w:lineRule="exact"/>
              <w:rPr>
                <w:sz w:val="20"/>
                <w:szCs w:val="20"/>
                <w:color w:val="auto"/>
              </w:rPr>
            </w:pPr>
            <w:r>
              <w:rPr>
                <w:rFonts w:ascii="Times New Roman" w:cs="Times New Roman" w:eastAsia="Times New Roman" w:hAnsi="Times New Roman"/>
                <w:sz w:val="15"/>
                <w:szCs w:val="15"/>
                <w:color w:val="auto"/>
              </w:rPr>
              <w:t>Acquisition of property and equipment through finance lease</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337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-2708275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-2708275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-2708275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-1464945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-1464945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-1250950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-1250950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-822325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-805180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-822325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-805180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-822325</wp:posOffset>
            </wp:positionV>
            <wp:extent cx="774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-805180</wp:posOffset>
            </wp:positionV>
            <wp:extent cx="774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-385445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-367665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-385445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-367665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-385445</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-153670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-136525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-153670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-136525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ICF International,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(dollar amounts in tables in thousands, except share and per share data)</w:t>
      </w:r>
    </w:p>
    <w:p>
      <w:pPr>
        <w:spacing w:after="0" w:line="203" w:lineRule="exact"/>
        <w:rPr>
          <w:sz w:val="20"/>
          <w:szCs w:val="20"/>
          <w:color w:val="auto"/>
        </w:rPr>
      </w:pPr>
    </w:p>
    <w:p>
      <w:pPr>
        <w:ind w:right="5320"/>
        <w:spacing w:after="0" w:line="378" w:lineRule="auto"/>
        <w:rPr>
          <w:sz w:val="20"/>
          <w:szCs w:val="20"/>
          <w:color w:val="auto"/>
        </w:rPr>
      </w:pPr>
      <w:r>
        <w:rPr>
          <w:rFonts w:ascii="Times New Roman" w:cs="Times New Roman" w:eastAsia="Times New Roman" w:hAnsi="Times New Roman"/>
          <w:sz w:val="18"/>
          <w:szCs w:val="18"/>
          <w:b w:val="1"/>
          <w:bCs w:val="1"/>
          <w:color w:val="auto"/>
        </w:rPr>
        <w:t>NOTE 1 - BASIS OF PRESENTATION AND NATURE OF OPERATIONS Basis of Presentation</w:t>
      </w: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ICF International, Inc. (“ICFI”) and its principal subsidiary, ICF Consulting Group, Inc. (“Consulting,” and together with ICFI, the “Company”), and have been prepared in accordance with United States (“U.S.”) generally accepted accounting principles (“U.S. GAAP”). Consulting is a wholly owned subsidiary of ICFI. ICFI is a holding company with no operations or assets other than its investment in the common stock of Consulting. All other subsidiaries of the Company are wholly owned by Consulting. Intercompany transactions and balances have been eliminated.</w:t>
      </w:r>
    </w:p>
    <w:p>
      <w:pPr>
        <w:spacing w:after="0" w:line="75"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Software assets, which were previously included within “Property and equipment, net” and “Other assets” on the Company’s consolidated balance sheets, have been reclassified and consolidated under “Other intangible assets, net”. To conform to the current year’s presentation, $1.6 million and $21.8 million, as of December 31, 2024, have been reclassified from “Property and equipment, net” and “Other assets”, respectively, to “Other intangible assets, net”.</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Previously separate financial statement line items “Depreciation and amortization” and “Amortization of intangible assets” on the Company’s consolidated statements of comprehensive income have been combined under “Depreciation and amortization”.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The Company primarily provides consulting and technology services across several key domains: strategy and public policy, energy and environmental sustainability, and climate resilience; digital transformation including information technology (“IT”) modernization, cloud, cybersecurity, and data analytics; health and social programs such as public health and education; international development and capacity building; disaster management and recovery planning; transportation, aviation, and infrastructure; and marketing and strategic communications. These areas combine expertise in policy, technology, and program implementation to help organizations and governments address complex challenges and drive impactful outcomes.</w:t>
      </w:r>
    </w:p>
    <w:p>
      <w:pPr>
        <w:spacing w:after="0" w:line="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customers are primarily U.S. federal government departments and agencies, U.S. state (including territories) and local government departments and agencies, international governments, and commercial clients worldwide. The terms “federal” or “federal government” refer to the U.S. federal government, and “state and local” or “state and local government” refer to U.S. state (including territories) and local governments, unless otherwise indicated.</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incorporated in Delaware, is headquartered in Reston, Virginia. It maintains additional offices throughout the world, including 49 offices in the U.S. and U.S. territories and 14 offices in key markets outside the U.S., including offices in the United Kingdom (“U.K.”), Belgium, Spain, India,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at the date of the consolidated financial statements, and the reported amounts of revenue and expenses during the reporting periods. Areas of the consolidated financial statements where estimates may have the most significant effect include valuation and lives of tangible and intangible assets, impairment of long-lived assets, accrued liabilities, revenue recognition (including estimates of variable considerations in determining the total contract price and allocation of performance obligations), the remaining costs to complete fixed-price contracts, bonus and other incentive compensation, stock-based compensation, reserves for tax benefits and valuation allowances on deferred tax assets, provisions for income taxes, collectability of receivables, and loss accruals for litigation. Actual results experienced by the Company may differ from management’s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agreements with clients that create enforceable rights and obligations and for which it is probable that the Company will collect the consideration to which it will be entitled as services and solutions are transferred to the client. Except in certain narrowly defined situations, the Company’s contracts with its clients are written and revenue is generally not recognized on oral or implied arrangements. The Company recognizes revenue based on the consideration specified in the applicable agreement and excludes payments to customers and amounts collected on behalf of third parties. Accordingly, sales and similar taxes which are collected on behalf of third parties are excluded from the transaction price.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3" w:name="page64"/>
    <w:bookmarkEnd w:id="63"/>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evaluates whether two or more agreements should be accounted for as one single contract and whether combined or single agreements should be accounted for as more than one performance obligation. For most contracts, the client requires the Company to perform a number of tasks in providing an integrated output for which the client has contracted, and, hence, contracts of this type are tracked as having only one performance obligation since a substantial part of the Company’s promise is to ensure the individual tasks are incorporated into a combined output in accordance with contract requirements. When contracts have multiple performance obligations, the Company allocates the total transaction price to each performance obligation based on the estimated relative standalone selling prices of the promised services underlying each performance obligation. The Company generally provides customized solutions in which the pricing is based on specific negotiations with each client, and, in these cases, the Company uses a cost-plus margin approach to estimate the standalone selling price of each performance obligation. Certain contracts contain award fees, incentive fees, or other provisions that can either increase or decrease the transaction price. These variable amounts are generally awarded at the completion of a contractually stipulated performance assessment period based on the achievement of performance metrics, program milestones or cost targets, and the amount awarded may be subject to client discretion.</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Variable consideration is estimated primarily by using the most likely amount method based on our prior history in providing the services to the customer or, if no history exists, the variable consideration is constrained until the initial determination by the customer. Once the Company selects a method to estimate variable consideration, it applies that method consistently over the performance assessment periods with changes in estimates resulting in cumulative catch-up adjustments in the period. Estimates of variable consideration will be constrained only to the extent that it is probable that a significant reversal in the amount of cumulative revenue recognized will not occur. The changes in estimates result in cumulative catch-up adjustments.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contractual arrangements to determine whether revenue should be recognized on a gross versus net basis. The Company’s assessment is based on the nature of the contractual obligation to the client. In most cases, the Company itself agrees to provide specified services to the client as a principal and revenue is recognized on a gross basis. In certain instances, the Company acts as an agent and merely arranges for another party to provide services to the client and revenue is recognized on a net basis in reflection of the fact that the Company does not control the goods or services provided to the client by the other party.</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Long-term contracts typically contain billing terms that provide for invoicing monthly or upon completion of milestones, and payment on a net 30-day basis. Therefore, the timing of billings and cash receipts may differ from the timing of revenue recognition resulting in either contract assets or contract liabilities. Exceptions to monthly billing terms are to ensure that the Company performs satisfactorily rather than representing a significant financing component. For cost-based contracts, the Company’s performance is evaluated during a contractually-stipulated performance period and, while contract costs may be billed on a monthly basis, the Company is generally permitted to bill for incentive or award fees only after the completion of the performance assessment period, which may occur quarterly, semi-annually or annually, and after the client completes the performance assessment. Fixed-price contracts may provide for milestone billings based on the attainment of specific project objectives rather than for billing on a monthly basis. Moreover, contracts may require retention or hold backs that are paid at the end of the contract to ensure that the Company performs in accordance with requirements. The Company does not assess whether a contract contains a significant financing component if the Company expects, at contract inception, that the period between payment by the client and the transfer of promised services to the client will be one year or less.</w:t>
      </w:r>
    </w:p>
    <w:p>
      <w:pPr>
        <w:spacing w:after="0" w:line="8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recognizes revenue over time as control is transferred to a client, based on the extent of progress towards satisfaction of the performance obligation. The selection of the method used to measure progress requires judgment and is dependent, among other factors, on the contract type and the nature of the services provided.</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For time-and-materials contracts, the Company uses the right-to-invoice practical expedient to recognize revenue earned based on hours worked in contract performance at negotiated billing rates as the Company believes this amount is commensurate with the value transferred to the customer. Fixed-price level-of-effort contracts are substantially similar to time-and-materials contracts except that the Company is required to deliver a specified level of effort over a stated period of time. For these contracts, the Company determines the revenue earned using contract hours worked at negotiated bill rates as the Company delivers the contractually required workforce.</w:t>
      </w:r>
    </w:p>
    <w:p>
      <w:pPr>
        <w:spacing w:after="0" w:line="75"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certain cost-based contracts that meet the criteria for the right-to-invoice practical expedient to be used as the Company believes this amount is commensurate with the value transferred to the customer, the Company recognizes revenue based on the amount to which the Company has a contractual right to invoice which is typically costs incurred plus contractually-stipulated fixed fees. Cost-based contracts may include variable consideration which is allocated to the distinct periods in which they relate to and recognized in that period.</w:t>
      </w:r>
    </w:p>
    <w:p>
      <w:pPr>
        <w:spacing w:after="0" w:line="7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series-services performance obligations, the Company measures progress using either a cost input measure, a time-elapsed output measure, or the right to invoice practical expedient.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firstLine="509"/>
        <w:spacing w:after="0" w:line="253" w:lineRule="auto"/>
        <w:rPr>
          <w:sz w:val="20"/>
          <w:szCs w:val="20"/>
          <w:color w:val="auto"/>
        </w:rPr>
      </w:pPr>
      <w:r>
        <w:rPr>
          <w:rFonts w:ascii="Times New Roman" w:cs="Times New Roman" w:eastAsia="Times New Roman" w:hAnsi="Times New Roman"/>
          <w:sz w:val="18"/>
          <w:szCs w:val="18"/>
          <w:color w:val="auto"/>
        </w:rPr>
        <w:t>For certain fixed-price contracts requiring the delivery of a product or service, the Company uses the percentage-of-completion method to estimate the amount of revenue, based on the ratio of actual costs incurred to total estimated costs, provided that costs incurred (an input method) represents a reasonable measure of progress towards the satisfaction of a performance obligation and transfer of control to the customer. This method provides a faithful depiction of the transfer of value to the client when the Company is satisfying a performance obligation that entails integration of tasks for a combined output, which requires the Company to coordinate the work of employees, subcontractors and delivery of other contract costs. Contract costs that are not reflective of the Company’s progress toward satisfying a performance obligation are not included in the calculation of the measure of progress. When this method is used, the changes in estimated costs to complete the obligations result in adjustments to revenue on a cumulative catch-up basis, which causes the effect of revised estimates for prior periods to be recognized in the current period. For the years ended December 31, 2025, 2024, and 2023, the Company recognized net favorable revenue adjustments of $8.1 million, $4.9 million, and $3.9 million, respectively. Changes in these estimates may routinely occur over contract performance for a variety of reasons, which include: changes in contract scope; changes in contract cost estimates due to unanticipated cost growth or reassessments of risks impacting costs; changes in estimated incentive or award fees; or performing better or worse than previously estimated. For certain fixed-price contracts in which the estimated cost to perform exceeds the consideration to be received, the Company accrues for the entire estimated loss during the period in which the loss is determined by recording additional direct contract costs.</w:t>
      </w:r>
    </w:p>
    <w:p>
      <w:pPr>
        <w:spacing w:after="0" w:line="79" w:lineRule="exact"/>
        <w:rPr>
          <w:sz w:val="20"/>
          <w:szCs w:val="20"/>
          <w:color w:val="auto"/>
        </w:rPr>
      </w:pPr>
    </w:p>
    <w:p>
      <w:pPr>
        <w:jc w:val="both"/>
        <w:ind w:right="420" w:firstLine="509"/>
        <w:spacing w:after="0" w:line="289" w:lineRule="auto"/>
        <w:rPr>
          <w:sz w:val="20"/>
          <w:szCs w:val="20"/>
          <w:color w:val="auto"/>
        </w:rPr>
      </w:pPr>
      <w:r>
        <w:rPr>
          <w:rFonts w:ascii="Times New Roman" w:cs="Times New Roman" w:eastAsia="Times New Roman" w:hAnsi="Times New Roman"/>
          <w:sz w:val="17"/>
          <w:szCs w:val="17"/>
          <w:color w:val="auto"/>
        </w:rPr>
        <w:t>In some fixed-price service contracts, the Company performs services of a recurring nature, such as maintenance and other services of a “stand ready” nature. For these contracts, the Company has the right to consideration in an amount that corresponds directly with the value that the client has received. Therefore, the Company records revenue on a time-elapsed basis to reflect the transfer of control to the client throughout the contract.</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Contracts may be modified to reflect changes in contract specifications and requirements, and these changes may create new enforceable rights and obligations. Modifications that are for services that are not distinct from the existing agreement due to the significant integration service that the Company provides are accounted for as part of an existing performance obligation. The effect of these modifications on the transaction price and the Company’s measure of progress in fulfilling the performance obligation to which they relate is recognized as an adjustment to revenue on a cumulative catch-up basis. Revenue from modifications that create new, distinct performance obligations is recognized based on the Company’s progress in fulfilling the requirements of the new obligations.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For performance obligations that are satisfied over time, the Company recognizes the cost to fulfill contracts when incurred, unless the costs are within the scope of another topic in which case the guidance of that topic is applied. The Company evaluates incremental costs of obtaining a contract and, if they are recoverable from the client and relate to a specific future contract, they are deferred and recognized over contract performance or the estimated life of the customer relationship if renewals are expected. The Company has elected to apply the practical expedient to recognize these costs when incurred if the amortization period is one year or less.</w:t>
      </w:r>
    </w:p>
    <w:p>
      <w:pPr>
        <w:spacing w:after="0" w:line="75"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Unfulfilled performance obligations (“UPO”) represent amounts expected to be earned on non-cancellable contracts or those that are cancellable, but the Company has determined to have substantive termination penalties. UPO does not include the value of negotiated, unexercised contract options, indefinite delivery/indefinite quantity and similar arrangements, which are considered as marketing offers.</w:t>
      </w:r>
    </w:p>
    <w:p>
      <w:pPr>
        <w:spacing w:after="0" w:line="6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operating cycle for long-term contracts may be greater than one year and is measured by the average time between the inception and completion of those contracts. Contract-related assets and liabilities are classified as current assets and current liabilities if the performance obligations are expected to be completed within one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cash on deposit and any highly liquid investments with original maturities of three months or less when purchased to be cash and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cash that is restricted as to usage due to contractual restrictions.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Receivables, Net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Contract receivables represent amounts billed and due from clients and billable when there is an unconditional right to the consideration in accordance with respective contractual terms. The amounts are stated at their net realizable value. The Company estimates an allowance for expected credit loss to reflect the amount of receivables that will not be collected. The Company considers a number of factors in estimating the amount of the allowance, including knowledge of a client’s financial condition, its historical collection experience, and other factors relevant to assessing the collectability of the receivables. The Company has elected to use the practical expedient that allows for the assumption that current conditions as of the balance sheet date will persist through the remaining life of the contract receivables when developing reasonable and supportable forecasts as part of estimating the allowance for expected credit losses.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writes off contract receivables when such amounts are determined to be uncollectible.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carried at cost and are depreciated using the straight-line method over their estimated useful lives, which range from two to seven years. Leasehold improvements are amortized on a straight-line basis over the shorter of the economic life of the improvement or the related lease term.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Assets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consideration over the fair value of net assets of businesses acquired. Goodwill and any intangible assets acquired in a business combination that are deemed to have an indefinite useful life are not amortized, but instead are reviewed for impairment annually, or more frequently if impairment indicators arise.</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performs its annual goodwill impairment test as of October 1. As its business is highly integrated and all of its components have similar economic characteristics, the Company has concluded it has one aggregated reporting unit at the consolidated entity level and performs the assessment at that level. The Company has the option to perform a qualitative assessment that determines if it is more likely than not that the estimated fair value of goodwill is greater than its carrying value and, if so, the Company may conclude that there are no indicators of impairment. If the Company concludes that an indicator exists, a quantitative test is performed by comparing the reporting unit’s fair value to the carrying amount and recognizing the difference as an impairment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including property and equipment, operating lease right-of-use (“ROU”) assets, and definite-lived intangible assets, for impairment whenever events or changes in circumstances indicate that the carrying amounts of the long-lived asset group may not be fully recoverable. If the total of the expected undiscounted future net cash flows is less than the carrying amount of the long-lived asset group being evaluated, a loss is recognized for any excess of the carrying amount over the fair value of the asset group.</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There was no impairment loss related to operating facility lease right-of-use assets and leasehold improvements recorded for the year ended December 31, 2025; however, during the years ended December 31, 2024 and 2023, the Company recognized impairment losses of $3.6 million and $6.8 million, respectively, related to operating facility lease right-of-use assets and leasehold improvements that it no longer used in ongoing operations. The impairment losses were included in indirect and selling expenses on the Company’s consolidated statements of comprehensive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leases facilities and property and equipment. The Company determines if an arrangement is a lease at its inception and recognizes a right-of-use asset and obligation for all leases greater than twelve months based on the present value of the future minimum lease payments as of the commencement date, excluding any lease incentives and initial costs incurred to obtain the lease. Since most lease agreements do not provide an implicit rate, the Company uses its incremental borrowing rate as of the commencement date, based on publicly available yields adjusted for company-specific considerations and terms, in estimating the present value of future payments.</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Lease terms, for the purpose of determining each lease’s present value, include options to extend or terminate the lease if it is reasonably certain and economically reasonable that the Company will exercise that option. Lease costs from minimum lease payments are recognized on a straight-line basis over the lease term.</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leases may contain both lease and non-lease components, which are generally accounted for separately. For office equipment leases (primarily copier leases), the Company elected to account for the lease and non-lease components as a single lease component and not recognize right-of-use assets and lease liabilities for leases with a term less than twelve months.</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and operating lease liabilities (current and non-current) and finance leases are included in property and equipment, net and finance lease liabilities (current and non-current)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and Costs of Cloud Computing Arrangements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costs to develop, enhance, and upgrade internal-use software. Capitalized costs include external subcontract costs and payroll costs for employees directly associated with such activities. Once completed, the software is amortized on a straight-line basis over their expected economic life, typically lasting three to five years. The amounts are included as part of “Other intangible assets, net” on the consolidated balance sheets (see “Note 6 - Goodwill and Other Intangible Assets”).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also capitalizes costs related to the implementation costs of cloud computing arrangements that are service contracts, and the amounts are included as part of “Other assets” on the consolidated balance sheets. These costs are amortized over the term of the hosting arrangement. As of December 31, 2025 and 2024, capitalized costs of cloud computing arrangements, net of accumulated amortization, totaled $2.0 million and $2.8 million,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of awards given to employees and non-employee directors, including grants of stock options, restricted stock awards, restricted stock units (“RSUs”), and cash-settled restricted stock units (“CSRSUs”) on a straight-line basis over the requisite service period, which is generally the vesting period. The Company recognizes expenses for performance-based share awards (“PSAs”), which have both performance and service conditions, on a straight-line basis over a three-year performance period. Non-employee director awards are granted annually for board-related services and therefore expensed over the service period of one year.</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is based on the estimated fair value of the instruments on the grant date and the estimated number of shares the Company ultimately expects will vest. The Company estimates the rate of future forfeitures based on factors which include the historical forfeiture experience from the previous 10 years for each applicable employee class. In addition, the estimation of PSAs that will ultimately vest requires judgment based on the performance and market conditions that will be achieved over the performance period. Changes to these estimates are recorded as a cumulative adjustment in the period estimates are revised.</w:t>
      </w:r>
    </w:p>
    <w:p>
      <w:pPr>
        <w:spacing w:after="0" w:line="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stock options, restricted stock awards, RSUs, PSAs, and non-employee director awards is estimated based on the fair value of a share of common stock at the grant date. The fair value of PSAs is also estimated using a Monte Carlo simulation model for the market-based performance period.</w:t>
      </w:r>
    </w:p>
    <w:p>
      <w:pPr>
        <w:spacing w:after="0" w:line="68"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CSRSUs are settled only in cash payments based on the fair value of the Company’s stock price at the vesting date, calculated by multiplying the number of CSRSUs vested by the Company’s closing stock price on the vesting date, subject to a maximum payment cap and a minimum payment floor. The Company treats these awards as liability-classified awards, and, therefore, accounts for them based on the closing price of the Company’s stock at the reporting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Derivative instruments primarily include interest rate swaps. Derivative instruments designated as cash flow hedges are recorded on the consolidated balance sheets at fair value as of the reporting date and reclassified to earnings (to the same category as the item being hedged) in the period that the hedged instruments affect earnings, and the effective portion of the hedge is recorded in other comprehensive income (loss), net of tax, on the consolidated statements of comprehensive income and as part of cash flows from operating activities on the consolidated statements of cash flows. Management reviews the effectiveness of the hedges on a quarterly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temporary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The Company evaluates its ability to benefit from all deferred tax assets and establishes valuation allowances for amounts it believes will more likely than not be realizable. For uncertain tax positions, the Company uses a more-likely-than-not recognition threshold based on the technical merits of the income tax position taken. Income tax positions that do not meet the more-likely-than-not recognition threshold are measured in order to determine the tax benefit recognized in the financial statements. Penalties, if probable and reasonably estimable, and interest expense related to uncertain tax positions are not recognized as a component of income tax expense but recorded separately in indirect expenses and interest expense,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Repurchased shares are accounted for as treasury stock under the cost method.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financial positions and results of operations of the Company’s foreign subsidiaries, for which the functional currency is not the U.S. dollar, are translated into U.S. dollars for financial reporting purposes. Assets and liabilities of the subsidiaries are translated at the exchange rate in effect at each balance sheet date. Income statement accounts are translated at the average rate of exchange prevailing during the period. Translation adjustments are reported in accumulated other comprehensive loss included in stockholders’ equity in the Company’s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includes foreign currency translation adjustments and the changes in fair value of interest rate swaps designated as cash flow hedges, net of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Acquisitions that meet the definition of a business in accordance with the Financial Accounting Standards Board (the “FASB”) Accounting Standards Codification (“ASC”) 805, Business Combinations, are recorded using the acquisition method of accounting. Except for contract assets and contract liabilities, the Company recognizes and measures identifiable assets acquired, liabilities assumed, contingent purchase considerations, and any non-controlling interest as of the acquisition date at their fair values. Contract assets and contract liabilities from acquired contracts are measured as if the Company had originated the contracts. Adjustments to contingent purchase considerations subsequent to the acquisition date are recorded as part of earnings in the same period of the adjustment. The valuation of intangible assets is determined by using either a market, income, or cost approach. The excess, if any, of total consideration transferred in a business combination over the fair value of identifiable assets acquired, liabilities assumed and any non-controlling interest is recognized as goodwill.</w:t>
      </w:r>
    </w:p>
    <w:p>
      <w:pPr>
        <w:spacing w:after="0" w:line="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Costs related to acquisitions include professional fees for legal, financial, and other advisory services and are expensed in the period in which they are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Direct costs exclude depreciation and amortization and amortization of intangible assets, which are presented separately on the consolidated statements of comprehensive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Indirect and Selling Expense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Indirect and selling expenses exclude depreciation and amortization, and amortization of intangible assets, which are presented separately on the consolidated statements of comprehensive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and reports certain financial assets and liabilities at fair value in accordance with ASC 820, Fair Value Measurements and Disclosures (“ASC 820”). Fair value is defined as the price that would be received to sell an asset or paid to transfer a liability in an orderly transaction between market participants on the measurement date. Generally, fair value is based on observable quoted market prices or derived from observable market data when such market prices or data are available. ASC 820 establishes a three-level hierarchy used to estimate fair value by which each level is categorized based on the priority of the inputs used to measure fair value:</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that are available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assets or liabilities in markets that are not active; inputs other than quoted prices that are observable for the asset or liability (e.g., interest rates and yield curves that are observable at commonly quoted intervals, and implied volatilities); and inputs derived principally from or corroborated by observable market data by correlation or other means; and</w:t>
      </w:r>
    </w:p>
    <w:p>
      <w:pPr>
        <w:spacing w:after="0" w:line="7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Uses inputs that are unobservable and require the Company to make certain assumptions and require significant estimation and judgment from management to use in pricing the fair value of the assets and liabilities.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Certain financial instruments, including cash and cash equivalents, contract receivables, and accounts payable are carried at cost, which, due to their short maturities, approximates their fair values. The carrying value of the Company’s debt approximates the estimated fair value for debt with similar terms, interest rates, and remaining maturities currently available to companies with similar credit ratings (Level 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derivative financial instruments, and contract receivables.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transactions are processed through one U.S. commercial bank, and the accounts are insured up to $250,000 by the Federal Deposit Insurance Corporation. As of December 31, 2025 and 2024, the Company had $61.9 million and $9.3 million, respectively, of cash and restricted cash in its accounts that exceeded the insured limit.</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held approximately $4.5 million and $4.6 million, respectively, of cash and restricted cash in foreign bank accounts.</w:t>
      </w:r>
    </w:p>
    <w:p>
      <w:pPr>
        <w:spacing w:after="0" w:line="54"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Company enters into derivative financial instruments with financial institutions that meet certain credit guidelines and limit its risks by continuously monitoring the credit rating of the institutions.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8" w:name="page69"/>
    <w:bookmarkEnd w:id="68"/>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Company’s receivables consist principally of amounts due from agencies and departments of the federal government, state and local governments, and international governments, as well as from commercial organizations. The credit risk, with respect to federal and other government clients, is limited due to the creditworthiness of the respective governmental entity. Receivables from commercial clients generally pose a greater credit risk, and, as a result, are subject to ongoing monitoring. The Company extends credit in the normal course of operations and does not require collateral from its clients. At December 31, 2025, the Company had one client who accounted for 13.8% of contract receivables, net, of which a portion of the outstanding invoices was paid subsequent to December 31, 2025 such that the contract receivables would have been below 10% of contract receivables, net. At December 31, 2024, there was no client that accounted for more than 10% of contract receivables, net.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11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July 2025, the FASB issued Accounting Standards Update (“ASU”) 2025-05: Measurement of Credit Losses for Accounts Receivable and Contract Assets (“ASU 2025-05”). Under ASU 2025-05, entities may elect a practical expedient method for estimating the allowance for expected credit losses which assumes that the conditions as of the balance sheet date do not change for the remaining life of the asset when developing reasonable and supportable forecasts as part of estimating expected credit losses on current accounts receivable and contract assets. ASU 2025-05 is effective for annual reporting periods beginning after December 15, 2025, and interim reporting periods within those annual reporting periods, with early adoption permitted. The Company early adopted the provisions of ASU 2025-05 during the third quarter of fiscal year 2025 and the adoption did not have any impact on the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Improvements to Income Tax Disclosures (“ASU 2023-09”), which requires greater disaggregation of income tax rate and amounts paid by entities. ASU 2023-09 specifically requires all entities to disclose, on an annual basis, disaggregated domestic and foreign pre-tax income or loss from continuing operations and the disaggregated income tax expense or benefit by federal, state, and foreign components, and a tabular rate reconciliation, using both percentages and reporting currency amounts, of eight specific categories as well as any individual reconciling items that are equal to or greater than 5% of a threshold computed by multiplying pretax income or loss from continuing operations by the applicable federal rate. Additionally, the amendments also require disclosure of income taxes paid disaggregated by federal, state, and foreign jurisdictions as well as any individual jurisdictions over 5% of the total income taxes paid. ASU 2023-09 is effective for the Company for the 2025 fiscal year, with early adoption permitted. The amendments may be adopted on a prospective or retrospective basis. The Company adopted the provisions of ASU 2023-09 on a retrospective basis and, aside from additional disclosures (see “Note 13 - Income Taxes”), the adoption did not have any impact on the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(“ASU 2024-03”), which requires additional disaggregation of certain costs and expenses. ASU 2024-03 specifically requires all public entities to disclose within a tabular format the amounts of (a) purchases of inventory, (b) employee compensation, (c) depreciation, (d) intangible asset amortization, and (e) depreciation, depletion, and amortization recognized as part of oil- and gas-producing activities in each relevant expense caption as well as certain amounts that are already required to be disclosed under current U.S. GAAP. ASU 2024-03 also requires public entities to disclose a qualitative description of the composition of any amounts in relevant expense captions that are not separately disaggregated and the amount and definition of the entity’s selling expenses. ASU 2024-03 will be effective for the Company for the 2027 fiscal year and interim periods within the 2028 fiscal year, with early adoption permitted. The amendments may be adopted on a prospective or retrospective basis. The Company is currently evaluating the impact of the adoption of ASU 2024-03.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 Goodwill and Other - Internal-Use Software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Targeted Improvements to the Accounting for Internal-Use Software (“ASU 2025-06”) which, among other things, removes the project development stage requirements and allows capitalization of internal-use software costs once (i) management has authorized and committed to funding the project and (ii) it is probable that the project will be completed and the software will be used as intended. ASU 2025-06 will be effective for the Company for the 2028 fiscal year, and interim reporting periods within those annual reporting periods, with early adoption permitted. The amendments may be adopted on a prospective, retrospective, or modified basis. The Company is currently evaluating the impact of the adoption of ASU 2025-06.</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NOTE 3 - RESTRICTED CASH</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consolidated balance sheets at December 31, 2025 and 2024 to the total cash, cash equivalents, and restricted cash shown in the consolidated statements of cash flows for the years ended December 31, 2025, 2024, and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51,027</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4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56,324</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1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cash at December 31, 2025 includes $3.0 million of long-term restricted cash that is part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Other assets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on the Company’s consolidated balance sheets.</w:t>
      </w:r>
    </w:p>
    <w:p>
      <w:pPr>
        <w:spacing w:after="0" w:line="1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Restricted cash is primarily related to the Company’s energy incentive business with public utility clients and restricted cash advances on certain programs.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CONTRACT RECEIVABLES, NET</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receivables, net consisted of the following as of December 31:</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64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09"/>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 and billable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241,129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263,624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(6,701)</w:t>
            </w:r>
          </w:p>
        </w:tc>
      </w:tr>
      <w:tr>
        <w:trPr>
          <w:trHeight w:val="250"/>
        </w:trPr>
        <w:tc>
          <w:tcPr>
            <w:tcW w:w="7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 receivables, net</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237,996</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sells certain billed contract receivables in accordance with its Amended Master Receivables Purchase Agreement with MUFG Bank, Ltd. (“MUFG”) that are accounted for as sales under ASC 860, Transfers and Servicing (“ASC 860”). The receivables are sold without recourse and the Company does not retain any ongoing financial interest in the transferred receivables, other than providing servicing activities. The following is a reconciliation of billed contract receivables sold to MUFG, including billed contract receivables sold to MUFG and payments from customers collected on behalf of MUFG during the twelve months ended December 31, 2025 and 2024, and the balance of billed contract receivables not yet collected from customers as of December 31, 2025 and 2024,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r>
      <w:tr>
        <w:trPr>
          <w:trHeight w:val="210"/>
        </w:trPr>
        <w:tc>
          <w:tcPr>
            <w:tcW w:w="7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209"/>
        </w:trPr>
        <w:tc>
          <w:tcPr>
            <w:tcW w:w="71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Beginning balance, billed contract receivables sold and not yet collected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21,302</w:t>
            </w:r>
          </w:p>
        </w:tc>
      </w:tr>
      <w:tr>
        <w:trPr>
          <w:trHeight w:val="216"/>
        </w:trPr>
        <w:tc>
          <w:tcPr>
            <w:tcW w:w="71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Billed contract receivables sold during the period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634,081</w:t>
            </w:r>
          </w:p>
        </w:tc>
      </w:tr>
      <w:tr>
        <w:trPr>
          <w:trHeight w:val="216"/>
        </w:trPr>
        <w:tc>
          <w:tcPr>
            <w:tcW w:w="71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Collections from customers during the period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(427,310)</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(629,417)</w:t>
            </w:r>
          </w:p>
        </w:tc>
      </w:tr>
      <w:tr>
        <w:trPr>
          <w:trHeight w:val="210"/>
        </w:trPr>
        <w:tc>
          <w:tcPr>
            <w:tcW w:w="7160" w:type="dxa"/>
            <w:vAlign w:val="bottom"/>
            <w:tcBorders>
              <w:top w:val="single" w:sz="8" w:color="CCEEFF"/>
            </w:tcBorders>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Ending balance, billed contract receivables sold and not yet collected </w:t>
            </w:r>
            <w:r>
              <w:rPr>
                <w:rFonts w:ascii="Times New Roman" w:cs="Times New Roman" w:eastAsia="Times New Roman" w:hAnsi="Times New Roman"/>
                <w:sz w:val="24"/>
                <w:szCs w:val="24"/>
                <w:color w:val="auto"/>
                <w:vertAlign w:val="superscript"/>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38,206</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25,966</w:t>
            </w:r>
          </w:p>
        </w:tc>
        <w:tc>
          <w:tcPr>
            <w:tcW w:w="100" w:type="dxa"/>
            <w:vAlign w:val="bottom"/>
            <w:tcBorders>
              <w:top w:val="single" w:sz="8" w:color="CCEEFF"/>
            </w:tcBorders>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380" w:right="160" w:hanging="372"/>
        <w:spacing w:after="0" w:line="261"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beginning balances represent billed contract receivables that were previously sold and derecognized by the Company but have not yet been collected from customers as of January 1, 2025 and 2024, respectively.</w:t>
      </w:r>
    </w:p>
    <w:p>
      <w:pPr>
        <w:spacing w:after="0" w:line="54" w:lineRule="exact"/>
        <w:rPr>
          <w:rFonts w:ascii="Times New Roman" w:cs="Times New Roman" w:eastAsia="Times New Roman" w:hAnsi="Times New Roman"/>
          <w:sz w:val="14"/>
          <w:szCs w:val="14"/>
          <w:color w:val="auto"/>
        </w:rPr>
      </w:pPr>
    </w:p>
    <w:p>
      <w:pPr>
        <w:ind w:left="380" w:right="220" w:hanging="372"/>
        <w:spacing w:after="0" w:line="261"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twelve months ended December 31, 2025 and 2024, the Company recorded net inflows of $12.2 million and $4.7 million, respectively, in its cash flows from operating activities from the sale of billed contract receivables.</w:t>
      </w:r>
    </w:p>
    <w:p>
      <w:pPr>
        <w:spacing w:after="0" w:line="54" w:lineRule="exact"/>
        <w:rPr>
          <w:rFonts w:ascii="Times New Roman" w:cs="Times New Roman" w:eastAsia="Times New Roman" w:hAnsi="Times New Roman"/>
          <w:sz w:val="14"/>
          <w:szCs w:val="14"/>
          <w:color w:val="auto"/>
        </w:rPr>
      </w:pPr>
    </w:p>
    <w:p>
      <w:pPr>
        <w:ind w:left="380" w:right="220" w:hanging="372"/>
        <w:spacing w:after="0" w:line="261" w:lineRule="auto"/>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ending balances represent billed contract receivables that were sold and derecognized by the Company but have not yet been collected from customers as of December 31, 2025 and 2024,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0" w:name="page71"/>
    <w:bookmarkEnd w:id="70"/>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cash collections from customers of billed contract receivables previously sold to MUFG, including collections from customers on behalf of MUFG of previously sold billed contract receivables and remittances of cash collections to MUFG during the twelve months ended December 31, 2025 and 2024, and the balance of cash collected but not yet remitted to MUFG as of December 31, 2025 and 2024,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As of and for the Year Ended</w:t>
            </w:r>
          </w:p>
        </w:tc>
      </w:tr>
      <w:tr>
        <w:trPr>
          <w:trHeight w:val="209"/>
        </w:trPr>
        <w:tc>
          <w:tcPr>
            <w:tcW w:w="7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r>
      <w:tr>
        <w:trPr>
          <w:trHeight w:val="210"/>
        </w:trPr>
        <w:tc>
          <w:tcPr>
            <w:tcW w:w="71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Beginning balance, cash collected but not yet remitted to MUFG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21,796</w:t>
            </w:r>
          </w:p>
        </w:tc>
      </w:tr>
      <w:tr>
        <w:trPr>
          <w:trHeight w:val="216"/>
        </w:trPr>
        <w:tc>
          <w:tcPr>
            <w:tcW w:w="71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Collections from customers during the period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629,417</w:t>
            </w:r>
          </w:p>
        </w:tc>
      </w:tr>
      <w:tr>
        <w:trPr>
          <w:trHeight w:val="216"/>
        </w:trPr>
        <w:tc>
          <w:tcPr>
            <w:tcW w:w="71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Remittances to MUFG during the period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(446,809)</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(627,874)</w:t>
            </w:r>
          </w:p>
        </w:tc>
      </w:tr>
      <w:tr>
        <w:trPr>
          <w:trHeight w:val="209"/>
        </w:trPr>
        <w:tc>
          <w:tcPr>
            <w:tcW w:w="7160" w:type="dxa"/>
            <w:vAlign w:val="bottom"/>
            <w:tcBorders>
              <w:top w:val="single" w:sz="8" w:color="CCEEFF"/>
            </w:tcBorders>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Ending balance, cash collected but not yet remitted to MUFG </w:t>
            </w:r>
            <w:r>
              <w:rPr>
                <w:rFonts w:ascii="Times New Roman" w:cs="Times New Roman" w:eastAsia="Times New Roman" w:hAnsi="Times New Roman"/>
                <w:sz w:val="24"/>
                <w:szCs w:val="24"/>
                <w:color w:val="auto"/>
                <w:vertAlign w:val="superscript"/>
              </w:rPr>
              <w:t>(3)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23,339</w:t>
            </w:r>
          </w:p>
        </w:tc>
        <w:tc>
          <w:tcPr>
            <w:tcW w:w="100" w:type="dxa"/>
            <w:vAlign w:val="bottom"/>
            <w:tcBorders>
              <w:top w:val="single" w:sz="8" w:color="CCEEFF"/>
            </w:tcBorders>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380" w:right="160" w:hanging="372"/>
        <w:spacing w:after="0" w:line="26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beginning balances represent cash collected from customers on behalf of MUFG for billed contract receivables that were previously sold and derecognized by the Company but have not yet been remitted to MUFG as of January 1, 2025 and 2024, respectively.</w:t>
      </w:r>
    </w:p>
    <w:p>
      <w:pPr>
        <w:spacing w:after="0" w:line="54" w:lineRule="exact"/>
        <w:rPr>
          <w:rFonts w:ascii="Times New Roman" w:cs="Times New Roman" w:eastAsia="Times New Roman" w:hAnsi="Times New Roman"/>
          <w:sz w:val="14"/>
          <w:szCs w:val="14"/>
          <w:color w:val="auto"/>
        </w:rPr>
      </w:pPr>
    </w:p>
    <w:p>
      <w:pPr>
        <w:ind w:left="380" w:right="360" w:hanging="372"/>
        <w:spacing w:after="0" w:line="26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twelve months ended December 31, 2025 and 2024, the Company recorded a net outflow of $19.5 million and a net inflow of $1.5 million, respectively, in its cash flows from operating activities from the collection of billed contract receivables that were sold but not yet remitted to MUFG.</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ending balances are included as part of “Accrued expenses and other current liabilities” on the Company’s consolidated balance sheets.</w:t>
      </w:r>
    </w:p>
    <w:p>
      <w:pPr>
        <w:spacing w:after="0" w:line="10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aggregate impact of the sale of billed contract receivables on the Company’s operating cash flows was a net outflow of $7.3 million and a net inflow of $6.2 million for the twelve months ended December 31, 2025 and 2024, respectively.</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and 2024, the amounts due to MUFG for cash collected and not yet remitted for certain billed contract receivables sold that did not qualify as sales under ASC 860 totaled $3.4 million and $7.9 million, respectively. These amounts are included as part of “Accrued expenses and other current liabilities” on the Company’s consolidated balance sheets, and included within cash flows from financing activities on the Company’s consolidated statements of cash flows.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3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28,182</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43,576</w:t>
            </w:r>
          </w:p>
        </w:tc>
        <w:tc>
          <w:tcPr>
            <w:tcW w:w="3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121,315</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124,973</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5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(62,958)</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(58,470)</w:t>
            </w:r>
          </w:p>
        </w:tc>
      </w:tr>
      <w:tr>
        <w:trPr>
          <w:trHeight w:val="210"/>
        </w:trPr>
        <w:tc>
          <w:tcPr>
            <w:tcW w:w="63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58,357</w:t>
            </w: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66,503</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-453390</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for the years ended December 31, 2025, 2024, and 2023 totaled $14.9 million, $16.0 million, and $18.4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OTHER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fiscal years ended December 31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38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1,248,855</w:t>
            </w:r>
          </w:p>
        </w:tc>
        <w:tc>
          <w:tcPr>
            <w:tcW w:w="8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1,219,476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Goodwill resulting from business combinations</w:t>
            </w:r>
          </w:p>
        </w:tc>
        <w:tc>
          <w:tcPr>
            <w:tcW w:w="1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30,200</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(821)</w:t>
            </w:r>
          </w:p>
        </w:tc>
      </w:tr>
      <w:tr>
        <w:trPr>
          <w:trHeight w:val="210"/>
        </w:trPr>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1,252,207</w:t>
            </w:r>
          </w:p>
        </w:tc>
        <w:tc>
          <w:tcPr>
            <w:tcW w:w="3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1,248,855</w:t>
            </w:r>
          </w:p>
        </w:tc>
        <w:tc>
          <w:tcPr>
            <w:tcW w:w="100" w:type="dxa"/>
            <w:vAlign w:val="bottom"/>
            <w:tcBorders>
              <w:top w:val="single" w:sz="8" w:color="CFF0FC"/>
            </w:tcBorders>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 15 - Acquisitions and Divestitures” for the details of the business combination and divestiture resulting in the changes in goodwill.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Other intangible assets consists of (i) intangible assets with definite lives previously acquired through mergers and acquisitions, purchased software, and internally-developed software (completed and in the process of completion), and (ii) a domain name with an indefinite life. The intangible assets with definite lives are amortized over periods ranging from approximately 1 to 12 years. The customer-related intangible assets, which consist of customer contracts, backlog, and non-contractual customer relationships, are amortized based on estimated cash flows and respective estimated economic benefit of the assets or straight-line over the estimated lives.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weighted-average periods of amortization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Customer-related</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8"/>
              </w:rPr>
              <w:t>5.3 years</w:t>
            </w:r>
          </w:p>
        </w:tc>
      </w:tr>
      <w:tr>
        <w:trPr>
          <w:trHeight w:val="216"/>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Software</w:t>
            </w: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8"/>
              </w:rPr>
              <w:t>5.0 years</w:t>
            </w:r>
          </w:p>
        </w:tc>
      </w:tr>
      <w:tr>
        <w:trPr>
          <w:trHeight w:val="216"/>
        </w:trPr>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8"/>
              </w:rPr>
              <w:t>6.5 years</w:t>
            </w:r>
          </w:p>
        </w:tc>
      </w:tr>
      <w:tr>
        <w:trPr>
          <w:trHeight w:val="216"/>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w:t>
            </w: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8"/>
              </w:rPr>
              <w:t>0.6 years</w:t>
            </w:r>
          </w:p>
        </w:tc>
      </w:tr>
      <w:tr>
        <w:trPr>
          <w:trHeight w:val="216"/>
        </w:trPr>
        <w:tc>
          <w:tcPr>
            <w:tcW w:w="4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8"/>
              </w:rPr>
              <w:t>5.3 years</w:t>
            </w:r>
          </w:p>
        </w:tc>
      </w:tr>
      <w:tr>
        <w:trPr>
          <w:trHeight w:val="324"/>
        </w:trPr>
        <w:tc>
          <w:tcPr>
            <w:tcW w:w="890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The carrying values of other intangible assets are as follows at December 31, 2025 and 2024: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1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160" w:type="dxa"/>
            <w:vAlign w:val="bottom"/>
          </w:tcPr>
          <w:p>
            <w:pPr>
              <w:spacing w:after="0"/>
              <w:rPr>
                <w:sz w:val="16"/>
                <w:szCs w:val="16"/>
                <w:color w:val="auto"/>
              </w:rPr>
            </w:pPr>
          </w:p>
        </w:tc>
        <w:tc>
          <w:tcPr>
            <w:tcW w:w="1480" w:type="dxa"/>
            <w:vAlign w:val="bottom"/>
          </w:tcPr>
          <w:p>
            <w:pPr>
              <w:jc w:val="center"/>
              <w:ind w:left="5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14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4160" w:type="dxa"/>
            <w:vAlign w:val="bottom"/>
          </w:tcPr>
          <w:p>
            <w:pPr>
              <w:spacing w:after="0"/>
              <w:rPr>
                <w:sz w:val="20"/>
                <w:szCs w:val="20"/>
                <w:color w:val="auto"/>
              </w:rPr>
            </w:pPr>
          </w:p>
        </w:tc>
        <w:tc>
          <w:tcPr>
            <w:tcW w:w="14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187,837</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(143,674)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(23,321)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(2,904)</w:t>
            </w: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235,234</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(171,469)</w:t>
            </w: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Software in development</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with indefinite life</w:t>
            </w:r>
          </w:p>
        </w:tc>
        <w:tc>
          <w:tcPr>
            <w:tcW w:w="14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253,024</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(171,469)</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81,555</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1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160" w:type="dxa"/>
            <w:vAlign w:val="bottom"/>
          </w:tcPr>
          <w:p>
            <w:pPr>
              <w:spacing w:after="0"/>
              <w:rPr>
                <w:sz w:val="16"/>
                <w:szCs w:val="16"/>
                <w:color w:val="auto"/>
              </w:rPr>
            </w:pPr>
          </w:p>
        </w:tc>
        <w:tc>
          <w:tcPr>
            <w:tcW w:w="1480" w:type="dxa"/>
            <w:vAlign w:val="bottom"/>
          </w:tcPr>
          <w:p>
            <w:pPr>
              <w:jc w:val="center"/>
              <w:ind w:left="5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60" w:type="dxa"/>
            <w:vAlign w:val="bottom"/>
          </w:tcPr>
          <w:p>
            <w:pPr>
              <w:spacing w:after="0"/>
              <w:rPr>
                <w:sz w:val="18"/>
                <w:szCs w:val="18"/>
                <w:color w:val="auto"/>
              </w:rPr>
            </w:pPr>
          </w:p>
        </w:tc>
        <w:tc>
          <w:tcPr>
            <w:tcW w:w="14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4160" w:type="dxa"/>
            <w:vAlign w:val="bottom"/>
          </w:tcPr>
          <w:p>
            <w:pPr>
              <w:spacing w:after="0"/>
              <w:rPr>
                <w:sz w:val="20"/>
                <w:szCs w:val="20"/>
                <w:color w:val="auto"/>
              </w:rPr>
            </w:pPr>
          </w:p>
        </w:tc>
        <w:tc>
          <w:tcPr>
            <w:tcW w:w="14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Customer-related</w:t>
            </w: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188,410</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(108,215)</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80,195</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4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226,200</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(128,918)</w:t>
            </w: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97,282</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Software in development</w:t>
            </w:r>
          </w:p>
        </w:tc>
        <w:tc>
          <w:tcPr>
            <w:tcW w:w="1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Pr>
          <w:p>
            <w:pPr>
              <w:spacing w:after="0"/>
              <w:rPr>
                <w:sz w:val="18"/>
                <w:szCs w:val="18"/>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with indefinite life</w:t>
            </w:r>
          </w:p>
        </w:tc>
        <w:tc>
          <w:tcPr>
            <w:tcW w:w="14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240,619</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(128,918)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111,701</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-2013585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-2013585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of amortizable intangible assets for the years ended December 31, 2025, 2024, and 2023, totaled $43.2 million, $37.5 million, and $42.3 million, respectively. The estimated future amortization expense relating to amortizable other intangible assets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720" w:type="dxa"/>
            <w:vAlign w:val="bottom"/>
            <w:shd w:val="clear" w:color="auto" w:fill="CFF0FC"/>
          </w:tcPr>
          <w:p>
            <w:pPr>
              <w:spacing w:after="0"/>
              <w:rPr>
                <w:sz w:val="18"/>
                <w:szCs w:val="18"/>
                <w:color w:val="auto"/>
              </w:rPr>
            </w:pPr>
          </w:p>
        </w:tc>
        <w:tc>
          <w:tcPr>
            <w:tcW w:w="622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27,412</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11,458</w:t>
            </w: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720" w:type="dxa"/>
            <w:vAlign w:val="bottom"/>
            <w:shd w:val="clear" w:color="auto" w:fill="CFF0FC"/>
          </w:tcPr>
          <w:p>
            <w:pPr>
              <w:spacing w:after="0"/>
              <w:rPr>
                <w:sz w:val="18"/>
                <w:szCs w:val="18"/>
                <w:color w:val="auto"/>
              </w:rPr>
            </w:pPr>
          </w:p>
        </w:tc>
        <w:tc>
          <w:tcPr>
            <w:tcW w:w="54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9,283</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7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5,631</w:t>
            </w:r>
          </w:p>
        </w:tc>
      </w:tr>
      <w:tr>
        <w:trPr>
          <w:trHeight w:val="216"/>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720" w:type="dxa"/>
            <w:vAlign w:val="bottom"/>
            <w:shd w:val="clear" w:color="auto" w:fill="CFF0FC"/>
          </w:tcPr>
          <w:p>
            <w:pPr>
              <w:spacing w:after="0"/>
              <w:rPr>
                <w:sz w:val="18"/>
                <w:szCs w:val="18"/>
                <w:color w:val="auto"/>
              </w:rPr>
            </w:pPr>
          </w:p>
        </w:tc>
        <w:tc>
          <w:tcPr>
            <w:tcW w:w="54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5,030</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20" w:type="dxa"/>
            <w:vAlign w:val="bottom"/>
          </w:tcPr>
          <w:p>
            <w:pPr>
              <w:spacing w:after="0"/>
              <w:rPr>
                <w:sz w:val="18"/>
                <w:szCs w:val="18"/>
                <w:color w:val="auto"/>
              </w:rPr>
            </w:pPr>
          </w:p>
        </w:tc>
      </w:tr>
      <w:tr>
        <w:trPr>
          <w:trHeight w:val="250"/>
        </w:trPr>
        <w:tc>
          <w:tcPr>
            <w:tcW w:w="37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28"/>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22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F-17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20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operating and finance leases for facilities and equipment which have remaining terms ranging from 1 to 13 years. The leases may include options to extend the lease periods for up to 5 years at rates approximating market rates and/or options to terminate the leases within 1 year. The leases may also include a residual value guarantee or a responsibility to return the property to its original state of use. A limited number of leases contain provisions that provide for rental increases based on consumer price indices. The change in lease cost resulting from changes in these indices was included within variable lease cost.</w:t>
      </w:r>
    </w:p>
    <w:p>
      <w:pPr>
        <w:spacing w:after="0" w:line="8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lease cost is recognized on a straight-line basis over the lease term and is primarily included within indirect and selling expenses on the consolidated statements of comprehensive income. Lease cost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10"/>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18,654</w:t>
            </w:r>
          </w:p>
        </w:tc>
        <w:tc>
          <w:tcPr>
            <w:tcW w:w="720" w:type="dxa"/>
            <w:vAlign w:val="bottom"/>
            <w:tcBorders>
              <w:left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7"/>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22,085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25,037</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 amortization of right-of-use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3"/>
              </w:rPr>
              <w:t>2,040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 - interest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Borders>
              <w:lef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tcBorders>
              <w:lef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(621)</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29"/>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lease cost</w:t>
            </w:r>
          </w:p>
        </w:tc>
        <w:tc>
          <w:tcPr>
            <w:tcW w:w="12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720" w:type="dxa"/>
            <w:vAlign w:val="bottom"/>
            <w:tcBorders>
              <w:left w:val="single" w:sz="8" w:color="CFF0FC"/>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7"/>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25,657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28,542</w:t>
            </w: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r>
      <w:tr>
        <w:trPr>
          <w:trHeight w:val="318"/>
        </w:trPr>
        <w:tc>
          <w:tcPr>
            <w:tcW w:w="9980" w:type="dxa"/>
            <w:vAlign w:val="bottom"/>
            <w:gridSpan w:val="15"/>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and finance leases as of December 31, 2025 were as follows: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20" w:type="dxa"/>
            <w:vAlign w:val="bottom"/>
          </w:tcPr>
          <w:p>
            <w:pPr>
              <w:spacing w:after="0"/>
              <w:rPr>
                <w:sz w:val="24"/>
                <w:szCs w:val="24"/>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23,857</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19,254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13,873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13,293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105,094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191,533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(32,811)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158,722</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tcBorders>
              <w:left w:val="single" w:sz="8" w:color="CCEEFF"/>
            </w:tcBorders>
            <w:shd w:val="clear" w:color="auto" w:fill="CCEEFF"/>
          </w:tcPr>
          <w:p>
            <w:pPr>
              <w:spacing w:after="0"/>
              <w:rPr>
                <w:sz w:val="21"/>
                <w:szCs w:val="21"/>
                <w:color w:val="auto"/>
              </w:rPr>
            </w:pPr>
          </w:p>
        </w:tc>
      </w:tr>
      <w:tr>
        <w:trPr>
          <w:trHeight w:val="197"/>
        </w:trPr>
        <w:tc>
          <w:tcPr>
            <w:tcW w:w="606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4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18,787</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139,935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2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280" w:type="dxa"/>
            <w:vAlign w:val="bottom"/>
            <w:tcBorders>
              <w:left w:val="single" w:sz="8" w:color="CCEEFF"/>
            </w:tcBorders>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158,722</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20" w:type="dxa"/>
            <w:vAlign w:val="bottom"/>
            <w:tcBorders>
              <w:left w:val="single" w:sz="8" w:color="CCEEFF"/>
            </w:tcBorders>
            <w:shd w:val="clear" w:color="auto" w:fill="CCEEFF"/>
          </w:tcPr>
          <w:p>
            <w:pPr>
              <w:spacing w:after="0"/>
              <w:rPr>
                <w:sz w:val="21"/>
                <w:szCs w:val="21"/>
                <w:color w:val="auto"/>
              </w:rPr>
            </w:pPr>
          </w:p>
        </w:tc>
      </w:tr>
      <w:tr>
        <w:trPr>
          <w:trHeight w:val="318"/>
        </w:trPr>
        <w:tc>
          <w:tcPr>
            <w:tcW w:w="6060" w:type="dxa"/>
            <w:vAlign w:val="bottom"/>
            <w:tcBorders>
              <w:top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operating and finance leases is as follows:</w:t>
            </w:r>
          </w:p>
        </w:tc>
        <w:tc>
          <w:tcPr>
            <w:tcW w:w="2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24"/>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769"/>
        </w:trPr>
        <w:tc>
          <w:tcPr>
            <w:tcW w:w="60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F-18</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6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-5382895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-5365750</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-5382895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-5365750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-3676650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-3659505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-3676650</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-3659505</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-3093720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-3076575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-3093720</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-3076575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May 6, 2022, the Company entered into the Restated Credit Agreement with a group of lenders with (a) PNC Bank, National Association as the Administrative Agent and (b) PNC Capital Markets LLC, BOFA Securities, Inc., TD Securities (USA) LLC, Wells Fargo Securities, LLC and Citizens Bank, N.A., as joint lead arrangers. The various facilities under the Restated Credit Agreement are referred to as the “Credit Facility”. The Restated Credit Agreement amended and restated the Company’s prior credit agreement (the “Existing Credit Agreement”) to, among other things: (a) maintain the existing $600 million revolving credit facility (together and inclusive of a $75 million swing line sublimit and $100 million sublimit for letters of credit); (b) increase the existing term loan facility from $200 million to $300 million; (c) provide for a new delayed draw term loan facility of $400 million; (d) maintain the existing incremental credit facility to make, subject to approval of the lenders making such loans, incremental term or revolving credit loan(s) in the aggregate principal amount of not more than $300 million; (e) increase the maximum Consolidated Leverage Ratio (as such term is defined in the Restated Credit Agreement) from 4.00 to 1.00 to 4.50 to 1.00 (with temporary increases to 5.00 to 1.00 for the three fiscal quarters following a “Material Permitted Acquisition”, as such term is defined in the Restated Credit Agreement); (f) maintain the minimum Consolidated Interest Coverage Ratio (as such term is defined in the Restated Credit Agreement) of 3.00 to 1.00; (g) increase the foreign currency debt limit in Euro and Sterling Pounds from $30 million equivalent to $200 million equivalent; (h) modify LIBOR based interest pricing conventions with SOFR based interest pricing conventions; (i) extend the maturity date of the Credit Facility until May 6, 2027; (j) incorporate various provisions and conventions encouraged by the Loan Syndication and Trade Association; and (k) modify certain definitions and certain covenants.</w:t>
      </w:r>
    </w:p>
    <w:p>
      <w:pPr>
        <w:spacing w:after="0" w:line="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Restated Credit Agreement, the Company may, at its discretion, borrow funds under the Credit Facility at interest rates based on both term SOFR (i.e., 1-, 3-, or 6-month rates) and the Base Rate (as defined herein), plus their applicable margins. The Base Rate is a fluctuating rate of interest equal to the highest of (a) the Overnight Bank Funding Rate (as defined in the Restated Credit Agreement), plus 0.5%, (b) the Prime Rate (as defined in the Restated Credit Agreement) and (c) the Daily Simple SOFR Rate (as defined in the Restated Credit Agreement) plus 1%, all as then adjusted to include the Applicable Margin (as defined in the Restated Credit Agreement) as then in effect (and as determined pursuant to the then-current Consolidated Leverage Ratio). For the years ended December 31, 2025 and 2024, interest expense from debt facilities was $29.2 million and $31.8 million, respectively, and the average interest rate on borrowings under the Credit Facility was 5.6% and 6.6%, respectively. As a result of floating-to-fixed interest rate swaps (see “Note 10 - Derivative Instruments and Hedging Activities”), interest expense decreased by $1.2 million and $6.2 million for the years ended December 31, 2025 and 2024, respectively, and the average interest rate was 5.4% and 5.3% for the years ended December 31, 2025 and 2024, respectively.</w:t>
      </w:r>
    </w:p>
    <w:p>
      <w:pPr>
        <w:spacing w:after="0" w:line="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Credit Facility is collateralized by substantially all the assets of the Company and its material domestic subsidiaries and requires that the Company remain in compliance with certain financial and non-financial covenants including, but not limited to the Consolidated Leverage Ratio and the Consolidated Interest Coverage Ratio. The Credit Facility also includes other terms and conditions, covenants, and other provisions of the Restated Credit Agreement that are materially consistent with the Existing Credit Agreement. As of December 31, 2025, the Company was in compliance with all covenants.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 had unused borrowing capacity of $550.0 million from the available $600.0 million revolving line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unused borrowing capacity is inclusive of four outstanding letters of credit totaling $1.6 million.</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debt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32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1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4780" w:type="dxa"/>
            <w:vAlign w:val="bottom"/>
          </w:tcPr>
          <w:p>
            <w:pPr>
              <w:spacing w:after="0"/>
              <w:rPr>
                <w:sz w:val="16"/>
                <w:szCs w:val="16"/>
                <w:color w:val="auto"/>
              </w:rPr>
            </w:pPr>
          </w:p>
        </w:tc>
        <w:tc>
          <w:tcPr>
            <w:tcW w:w="1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40" w:type="dxa"/>
            <w:vAlign w:val="bottom"/>
          </w:tcPr>
          <w:p>
            <w:pPr>
              <w:spacing w:after="0"/>
              <w:rPr>
                <w:sz w:val="16"/>
                <w:szCs w:val="16"/>
                <w:color w:val="auto"/>
              </w:rPr>
            </w:pPr>
          </w:p>
        </w:tc>
        <w:tc>
          <w:tcPr>
            <w:tcW w:w="1800" w:type="dxa"/>
            <w:vAlign w:val="bottom"/>
            <w:tcBorders>
              <w:top w:val="single" w:sz="8" w:color="auto"/>
            </w:tcBorders>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4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6"/>
                <w:szCs w:val="16"/>
                <w:color w:val="auto"/>
              </w:rPr>
            </w:pPr>
          </w:p>
        </w:tc>
      </w:tr>
      <w:tr>
        <w:trPr>
          <w:trHeight w:val="238"/>
        </w:trPr>
        <w:tc>
          <w:tcPr>
            <w:tcW w:w="47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200,250</w:t>
            </w:r>
          </w:p>
        </w:tc>
        <w:tc>
          <w:tcPr>
            <w:tcW w:w="2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Delayed-Draw Term Loan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tcPr>
          <w:p>
            <w:pPr>
              <w:spacing w:after="0"/>
              <w:rPr>
                <w:sz w:val="18"/>
                <w:szCs w:val="18"/>
                <w:color w:val="auto"/>
              </w:rPr>
            </w:pPr>
          </w:p>
        </w:tc>
      </w:tr>
      <w:tr>
        <w:trPr>
          <w:trHeight w:val="216"/>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w:t>
            </w:r>
          </w:p>
        </w:tc>
        <w:tc>
          <w:tcPr>
            <w:tcW w:w="1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w:t>
            </w:r>
          </w:p>
        </w:tc>
        <w:tc>
          <w:tcPr>
            <w:tcW w:w="2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402,734</w:t>
            </w:r>
          </w:p>
        </w:tc>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414,225</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(1,379)</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(2,482)</w:t>
            </w:r>
          </w:p>
        </w:tc>
      </w:tr>
      <w:tr>
        <w:trPr>
          <w:trHeight w:val="20"/>
        </w:trPr>
        <w:tc>
          <w:tcPr>
            <w:tcW w:w="47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401,355</w:t>
            </w:r>
          </w:p>
        </w:tc>
        <w:tc>
          <w:tcPr>
            <w:tcW w:w="240" w:type="dxa"/>
            <w:vAlign w:val="bottom"/>
          </w:tcPr>
          <w:p>
            <w:pPr>
              <w:spacing w:after="0"/>
              <w:rPr>
                <w:sz w:val="18"/>
                <w:szCs w:val="18"/>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411,743</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-453390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scheduled repayments of debt principal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Delayed-Draw</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Payments due by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6, 2027 (Maturity)</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200,250</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402,734</w:t>
            </w:r>
          </w:p>
        </w:tc>
        <w:tc>
          <w:tcPr>
            <w:tcW w:w="100" w:type="dxa"/>
            <w:vAlign w:val="bottom"/>
          </w:tcPr>
          <w:p>
            <w:pPr>
              <w:spacing w:after="0"/>
              <w:rPr>
                <w:sz w:val="18"/>
                <w:szCs w:val="18"/>
                <w:color w:val="auto"/>
              </w:rPr>
            </w:pPr>
          </w:p>
        </w:tc>
      </w:tr>
      <w:tr>
        <w:trPr>
          <w:trHeight w:val="249"/>
        </w:trPr>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154,000</w:t>
            </w:r>
          </w:p>
        </w:tc>
        <w:tc>
          <w:tcPr>
            <w:tcW w:w="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w:t>
            </w:r>
          </w:p>
        </w:tc>
        <w:tc>
          <w:tcPr>
            <w:tcW w:w="54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402,734</w:t>
            </w:r>
          </w:p>
        </w:tc>
        <w:tc>
          <w:tcPr>
            <w:tcW w:w="100" w:type="dxa"/>
            <w:vAlign w:val="bottom"/>
            <w:shd w:val="clear" w:color="auto" w:fill="CCEEFF"/>
          </w:tcPr>
          <w:p>
            <w:pPr>
              <w:spacing w:after="0"/>
              <w:rPr>
                <w:sz w:val="21"/>
                <w:szCs w:val="21"/>
                <w:color w:val="auto"/>
              </w:rPr>
            </w:pPr>
          </w:p>
        </w:tc>
      </w:tr>
      <w:tr>
        <w:trPr>
          <w:trHeight w:val="628"/>
        </w:trPr>
        <w:tc>
          <w:tcPr>
            <w:tcW w:w="46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F-19</w:t>
            </w: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-933450</wp:posOffset>
            </wp:positionV>
            <wp:extent cx="768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-916305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-933450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-916305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-933450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-916305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debt issuance costs are amortized over the term of indebtedness. Amortization of debt issuance costs totaling $1.1 million, $1.2 million, and $2.0 million was recorded for each of the years ended December 31, 2025, 2024, and 2023, respectively, and was included as part of interest, net, on the Company’s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clients into categories that depict how the nature, amount, and uncertainty of revenue and cash flows are affected by economic and business factors. Those categories are: client markets, client type, and contract mix.</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Client markets provide insight into the breadth of the Company’s expertise. In classifying revenue by client markets, the Company attributes revenue from a client to the market that the Company believes is the client’s primary market. The Company also classifies revenue by the type of client for which it does business, which is an indicator of the diversity of its client base. The Company attributes revenue generated as a subcontractor to the market or type of the ultimate client. For the years ended December 31, 2025, 2024, and 2023, the Company’s largest client was the Department of Health and Human Services with $415.5 million, $503.9 million, and $509.5 million of revenue, respectively. There was no other client with revenue greater than 5% of total revenue for the years ended December 31, 2025, 2024, and 2023. Disaggregation by contract mix provides insight in terms of the degree of performance risk that the Company has assumed. Fixed-price contracts are considered to provide the highest amount of performance risk as the Company is required to deliver a scope of work or level of effort for a negotiated fixed price. Time-and-materials contracts require the Company to provide skilled employees for negotiated fixed hourly rates. Since the Company is not required to deliver a scope of work, but merely skilled employees, it considers these contracts to be less risky than a fixed-price agreement. Cost-based contracts are considered to provide the lowest amount of performance risk since the Company is generally reimbursed for all contract costs incurred in performance of contract deliverables with only the amount of incentive or award fees (if applicable) dependent on the achievement of negotiated performance requirements.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revenue by client market, client type, and contract mix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Client Markets:</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Energy, environment, infrastructure, and disaster recovery</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979,137</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934,399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805,942</w:t>
            </w: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Health and social programs</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620,731</w:t>
            </w:r>
          </w:p>
        </w:tc>
        <w:tc>
          <w:tcPr>
            <w:tcW w:w="28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765,139</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814,789</w:t>
            </w: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and other civilian &amp; commercial</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320,249</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342,507</w:t>
            </w:r>
          </w:p>
        </w:tc>
      </w:tr>
      <w:tr>
        <w:trPr>
          <w:trHeight w:val="20"/>
        </w:trPr>
        <w:tc>
          <w:tcPr>
            <w:tcW w:w="5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1,872,851</w:t>
            </w:r>
          </w:p>
        </w:tc>
        <w:tc>
          <w:tcPr>
            <w:tcW w:w="280" w:type="dxa"/>
            <w:vAlign w:val="bottom"/>
            <w:tcBorders>
              <w:lef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2,019,787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1,963,238</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Client Type:</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federal government</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809,073</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1,088,607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1,084,047</w:t>
            </w: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state and local government</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322,956</w:t>
            </w:r>
          </w:p>
        </w:tc>
        <w:tc>
          <w:tcPr>
            <w:tcW w:w="28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316,017</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309,516</w:t>
            </w: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International government</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110,680</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103,446</w:t>
            </w:r>
          </w:p>
        </w:tc>
      </w:tr>
      <w:tr>
        <w:trPr>
          <w:trHeight w:val="20"/>
        </w:trPr>
        <w:tc>
          <w:tcPr>
            <w:tcW w:w="5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Government</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1,251,160</w:t>
            </w:r>
          </w:p>
        </w:tc>
        <w:tc>
          <w:tcPr>
            <w:tcW w:w="280" w:type="dxa"/>
            <w:vAlign w:val="bottom"/>
            <w:tcBorders>
              <w:lef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1,515,304</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1,497,009</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504,483</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466,229</w:t>
            </w:r>
          </w:p>
        </w:tc>
      </w:tr>
      <w:tr>
        <w:trPr>
          <w:trHeight w:val="20"/>
        </w:trPr>
        <w:tc>
          <w:tcPr>
            <w:tcW w:w="5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1,872,851</w:t>
            </w:r>
          </w:p>
        </w:tc>
        <w:tc>
          <w:tcPr>
            <w:tcW w:w="280" w:type="dxa"/>
            <w:vAlign w:val="bottom"/>
            <w:tcBorders>
              <w:lef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2,019,787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1,963,238</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Mix:</w:t>
            </w:r>
          </w:p>
        </w:tc>
        <w:tc>
          <w:tcPr>
            <w:tcW w:w="1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Time-and-materials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802,013</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855,533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811,911</w:t>
            </w:r>
          </w:p>
        </w:tc>
      </w:tr>
      <w:tr>
        <w:trPr>
          <w:trHeight w:val="216"/>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Fixed-price</w:t>
            </w:r>
          </w:p>
        </w:tc>
        <w:tc>
          <w:tcPr>
            <w:tcW w:w="11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932,659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932,353</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886,200</w:t>
            </w: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Cost-based</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231,901</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265,127</w:t>
            </w:r>
          </w:p>
        </w:tc>
      </w:tr>
      <w:tr>
        <w:trPr>
          <w:trHeight w:val="20"/>
        </w:trPr>
        <w:tc>
          <w:tcPr>
            <w:tcW w:w="5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1,872,851</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2,019,787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1,963,238</w:t>
            </w:r>
          </w:p>
        </w:tc>
      </w:tr>
      <w:tr>
        <w:trPr>
          <w:trHeight w:val="628"/>
        </w:trPr>
        <w:tc>
          <w:tcPr>
            <w:tcW w:w="532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F-20</w:t>
            </w: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-933450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-916305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-933450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-916305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Contract assets consist of unbilled receivables on contracts where revenue recognized exceeds the amount billed. Contract liabilities result from advance payments received on a contract or from billings in excess of revenue recognized on contracts.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contract balances as of December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186,684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188,941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(2,257)</w:t>
            </w:r>
          </w:p>
        </w:tc>
      </w:tr>
      <w:tr>
        <w:trPr>
          <w:trHeight w:val="216"/>
        </w:trPr>
        <w:tc>
          <w:tcPr>
            <w:tcW w:w="3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4"/>
                <w:szCs w:val="24"/>
                <w:color w:val="auto"/>
                <w:vertAlign w:val="superscript"/>
              </w:rPr>
              <w:t>(1)</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(46,487)</w:t>
            </w:r>
          </w:p>
        </w:tc>
        <w:tc>
          <w:tcPr>
            <w:tcW w:w="1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(24,580)</w:t>
            </w:r>
          </w:p>
        </w:tc>
        <w:tc>
          <w:tcPr>
            <w:tcW w:w="3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(21,907)</w:t>
            </w:r>
          </w:p>
        </w:tc>
      </w:tr>
      <w:tr>
        <w:trPr>
          <w:trHeight w:val="20"/>
        </w:trPr>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contract assets (liabilities)</w:t>
            </w:r>
          </w:p>
        </w:tc>
        <w:tc>
          <w:tcPr>
            <w:tcW w:w="1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140,197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164,361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(24,164)</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Contract liabilities as of December 31, 2025 include $3.0 million of long-term contract liabilities that are part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Other long-term liabilities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on the Company's consolidated balance sheets.</w:t>
      </w:r>
    </w:p>
    <w:p>
      <w:pPr>
        <w:spacing w:after="0" w:line="10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net contract assets (liabilities) as of December 31, 2025 decreased by $24.2 million as compared to December 31, 2024, primarily due to the timing difference between the performance of services and billings to and payments from customers. There were no material changes to contract balances due to impairments or credit losses during the period. During the years ended December 31, 2025 and 2024, the Company recognized $20.6 million and $17.6 million in revenue related to the contract liabilities balance at December 31, 2024 and 2023,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Estimates on Contracts:</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aggregate net changes in estimates on contracts accounted under the percentage-of-completion method reflected increases of $14.8 million, $12.7 million, and $7.9 million, respectively, to “Operating income” on the Company’s consolidated statements of comprehensive income. The impact of the changes on the Company’s diluted earnings per share was $0.65, $0.54, and $0.36, respectively. The Company used its effective tax rates of 18.2%, 20.2%, and 14.4%, respectively, to calculate the impact on net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Adjustments from Previously Satisfied Performance Obligations:</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recognized $4.8 million, and $1.6 million, respectively, of revenue from previously satisfied performance obligations. For the year ended December 31, 2023, the Company reduced revenue by $1.4 million from previously satisfied performance obligations. The adjustments were primarily due to changes in the transaction prices and final performance determination of certain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Unfulfilled Performance Obligations: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had $0.7 billion in UPO as of December 31, 2025, of which approximately 66% relates to its contracts with U.S. federal government. During the year ended December 31, 2025, pursuant to the executive orders issued by the Administration or actions by the Department of Government Efficiency, the Company received notices for termination-for-convenience. The termination notices were received primarily in the first and second quarters of the 2025 fiscal year.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to recognize the remaining UPO as revenue of approximately 74% by December 31, 2026, 91% by December 31, 2027, and the remaining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INSTRUMENTS AND HEDGING ACTIVITIES</w:t>
      </w:r>
    </w:p>
    <w:p>
      <w:pPr>
        <w:spacing w:after="0" w:line="121"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The Company uses interest rate swap agreements (the “Swaps”) to manage its variable interest rate risk associated with its borrowings under the Credit Facility. The Company does not use such instruments for speculative or trading purposes.</w:t>
      </w:r>
    </w:p>
    <w:p>
      <w:pPr>
        <w:spacing w:after="0" w:line="54"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8"/>
          <w:szCs w:val="18"/>
          <w:color w:val="auto"/>
        </w:rPr>
        <w:t>During the second and third quarters of the 2025 fiscal year, the Company executed a strategy that extended the term of the existing Swaps at a lower interest rate while maintaining the same overall notional value of each Swap. As a result of the amendment, $50.0 million will mature on February 28, 2030, $25.0 million will mature on June 26, 2030, and $100.0 million will mature on July 31, 2030. The Company has designated the modified Swaps as cash flow hedges. See “Note 8 - Debt” for details on the impact of the Swap on the Company’s interest rates. See “Note 11 - Fair Value” for the fair value of these Swaps.</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years ended December 31, 2025 and 2024, the effect of the Swaps on the Company’s financial statements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Amount of (Gain) or Loss</w:t>
            </w:r>
          </w:p>
        </w:tc>
      </w:tr>
      <w:tr>
        <w:trPr>
          <w:trHeight w:val="216"/>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Reclassified from AOCI into</w:t>
            </w:r>
          </w:p>
        </w:tc>
      </w:tr>
      <w:tr>
        <w:trPr>
          <w:trHeight w:val="238"/>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Flow Hedging Derivatives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Gain (Loss) Recorded to AOCI</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80" w:type="dxa"/>
            <w:vAlign w:val="bottom"/>
            <w:shd w:val="clear" w:color="auto" w:fill="CCEEFF"/>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FF0FC"/>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shd w:val="clear" w:color="auto" w:fill="CFF0FC"/>
          </w:tcPr>
          <w:p>
            <w:pPr>
              <w:spacing w:after="0"/>
              <w:rPr>
                <w:sz w:val="18"/>
                <w:szCs w:val="18"/>
                <w:color w:val="auto"/>
              </w:rPr>
            </w:pPr>
          </w:p>
        </w:tc>
      </w:tr>
      <w:tr>
        <w:trPr>
          <w:trHeight w:val="648"/>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F-21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-1212215</wp:posOffset>
            </wp:positionV>
            <wp:extent cx="102870" cy="1797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-1212215</wp:posOffset>
            </wp:positionV>
            <wp:extent cx="93980" cy="1797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-1212215</wp:posOffset>
            </wp:positionV>
            <wp:extent cx="93980" cy="1797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-1212215</wp:posOffset>
            </wp:positionV>
            <wp:extent cx="93980" cy="1797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76" w:name="page77"/>
    <w:bookmarkEnd w:id="76"/>
    <w:p>
      <w:pPr>
        <w:ind w:right="120" w:firstLine="464"/>
        <w:spacing w:after="0" w:line="282" w:lineRule="auto"/>
        <w:rPr>
          <w:sz w:val="20"/>
          <w:szCs w:val="20"/>
          <w:color w:val="auto"/>
        </w:rPr>
      </w:pPr>
      <w:r>
        <w:rPr>
          <w:rFonts w:ascii="Times New Roman" w:cs="Times New Roman" w:eastAsia="Times New Roman" w:hAnsi="Times New Roman"/>
          <w:sz w:val="18"/>
          <w:szCs w:val="18"/>
          <w:color w:val="auto"/>
        </w:rPr>
        <w:t>As of December 31, 2025, $0.6 million in unrealized losses from the Swaps are expected to be reclassified from AOCI into earnings within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w:t>
      </w:r>
    </w:p>
    <w:p>
      <w:pPr>
        <w:spacing w:after="0" w:line="121" w:lineRule="exact"/>
        <w:rPr>
          <w:sz w:val="20"/>
          <w:szCs w:val="20"/>
          <w:color w:val="auto"/>
        </w:rPr>
      </w:pPr>
    </w:p>
    <w:p>
      <w:pPr>
        <w:ind w:right="60" w:firstLine="464"/>
        <w:spacing w:after="0" w:line="282" w:lineRule="auto"/>
        <w:rPr>
          <w:sz w:val="20"/>
          <w:szCs w:val="20"/>
          <w:color w:val="auto"/>
        </w:rPr>
      </w:pPr>
      <w:r>
        <w:rPr>
          <w:rFonts w:ascii="Times New Roman" w:cs="Times New Roman" w:eastAsia="Times New Roman" w:hAnsi="Times New Roman"/>
          <w:sz w:val="18"/>
          <w:szCs w:val="18"/>
          <w:color w:val="auto"/>
        </w:rPr>
        <w:t>Financial instruments measured at fair value on a recurring basis and their location within the accompanying consolidated financial statements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on Balance Sheet</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3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26,37</w:t>
            </w:r>
          </w:p>
        </w:tc>
        <w:tc>
          <w:tcPr>
            <w:tcW w:w="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Company-owned life insurance policies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26,373</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swaps - current portion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swaps - long-term portion</w:t>
            </w:r>
          </w:p>
        </w:tc>
        <w:tc>
          <w:tcPr>
            <w:tcW w:w="300" w:type="dxa"/>
            <w:vAlign w:val="bottom"/>
          </w:tcPr>
          <w:p>
            <w:pPr>
              <w:spacing w:after="0"/>
              <w:rPr>
                <w:sz w:val="20"/>
                <w:szCs w:val="20"/>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on Balance Sheet</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18"/>
                <w:szCs w:val="18"/>
                <w:color w:val="auto"/>
              </w:rPr>
            </w:pPr>
          </w:p>
        </w:tc>
        <w:tc>
          <w:tcPr>
            <w:tcW w:w="3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current portion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Prepaid expenses and other assets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long-term portion</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23,17</w:t>
            </w:r>
          </w:p>
        </w:tc>
        <w:tc>
          <w:tcPr>
            <w:tcW w:w="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Company-owned life insurance policies</w:t>
            </w:r>
          </w:p>
        </w:tc>
        <w:tc>
          <w:tcPr>
            <w:tcW w:w="300" w:type="dxa"/>
            <w:vAlign w:val="bottom"/>
          </w:tcPr>
          <w:p>
            <w:pPr>
              <w:spacing w:after="0"/>
              <w:rPr>
                <w:sz w:val="20"/>
                <w:szCs w:val="20"/>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swaps - current portion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swaps - long-term portion</w:t>
            </w:r>
          </w:p>
        </w:tc>
        <w:tc>
          <w:tcPr>
            <w:tcW w:w="300" w:type="dxa"/>
            <w:vAlign w:val="bottom"/>
          </w:tcPr>
          <w:p>
            <w:pPr>
              <w:spacing w:after="0"/>
              <w:rPr>
                <w:sz w:val="20"/>
                <w:szCs w:val="20"/>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260" w:firstLine="464"/>
        <w:spacing w:after="0" w:line="266" w:lineRule="auto"/>
        <w:rPr>
          <w:sz w:val="20"/>
          <w:szCs w:val="20"/>
          <w:color w:val="auto"/>
        </w:rPr>
      </w:pPr>
      <w:r>
        <w:rPr>
          <w:rFonts w:ascii="Times New Roman" w:cs="Times New Roman" w:eastAsia="Times New Roman" w:hAnsi="Times New Roman"/>
          <w:sz w:val="18"/>
          <w:szCs w:val="18"/>
          <w:color w:val="auto"/>
        </w:rPr>
        <w:t>Financial and non-financial instruments measured or re-measured at fair value on a non-recurring basis after initial measurement include certain impaired right-of-use assets from operating leases (see “Note 19 - Exit Activities”) using the discounted cash flows method with Level 3 inputs as of the impairment dates.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12 -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Accumulated other comprehensive (loss) income included the following: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Changes in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of Interest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center"/>
              <w:ind w:right="5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Rate Hedge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8"/>
        </w:trPr>
        <w:tc>
          <w:tcPr>
            <w:tcW w:w="5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Borders>
              <w:bottom w:val="single" w:sz="8" w:color="auto"/>
            </w:tcBorders>
            <w:gridSpan w:val="2"/>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2"/>
              </w:rPr>
              <w:t xml:space="preserve">Agreements </w:t>
            </w:r>
            <w:r>
              <w:rPr>
                <w:rFonts w:ascii="Times New Roman" w:cs="Times New Roman" w:eastAsia="Times New Roman" w:hAnsi="Times New Roman"/>
                <w:sz w:val="24"/>
                <w:szCs w:val="24"/>
                <w:b w:val="1"/>
                <w:bCs w:val="1"/>
                <w:color w:val="auto"/>
                <w:w w:val="92"/>
                <w:vertAlign w:val="superscript"/>
              </w:rPr>
              <w:t>(1)(2)</w:t>
            </w:r>
          </w:p>
        </w:tc>
        <w:tc>
          <w:tcPr>
            <w:tcW w:w="2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2"/>
                <w:szCs w:val="22"/>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 at January 1, 2023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(8,133)</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(6,982)</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(6,982)</w:t>
            </w: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taxes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(2,797)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r>
      <w:tr>
        <w:trPr>
          <w:trHeight w:val="20"/>
        </w:trPr>
        <w:tc>
          <w:tcPr>
            <w:tcW w:w="5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period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(5,113)</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(3,752)</w:t>
            </w: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 at December 31, 2023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(12,695)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(11,885)</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(3,884)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(6,244)</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(6,244)</w:t>
            </w:r>
          </w:p>
        </w:tc>
      </w:tr>
      <w:tr>
        <w:trPr>
          <w:trHeight w:val="216"/>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taxes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period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(3,861)</w:t>
            </w: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 at December 31, 2024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(16,383)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(15,746)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(2,268)</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w:t>
            </w: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Amounts reclassified from accumulated other comprehensive (loss) income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(5,110)</w:t>
            </w:r>
          </w:p>
        </w:tc>
      </w:tr>
      <w:tr>
        <w:trPr>
          <w:trHeight w:val="216"/>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 of taxes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period other comprehensive (loss)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 at December 31, 2025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(11,689)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(1,739)</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(13,428)</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-1996440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-1996440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-1156335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-1156335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-1156335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-316230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right="100" w:hanging="512"/>
        <w:spacing w:after="0" w:line="241"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fair value of interest rate hedge agreements designated as cash flow hedges. The fair value of the interest rate hedge agreements was recorded in other comprehensive income, net of tax, and will be reclassified to earnings when earnings are impacted by the hedged items, as interest payments are made on the debt. See additional details of the hedge agreements in “Note 10 - Derivative Instruments and Hedging Activities”.</w:t>
      </w:r>
    </w:p>
    <w:p>
      <w:pPr>
        <w:spacing w:after="0" w:line="68" w:lineRule="exact"/>
        <w:rPr>
          <w:rFonts w:ascii="Times New Roman" w:cs="Times New Roman" w:eastAsia="Times New Roman" w:hAnsi="Times New Roman"/>
          <w:sz w:val="14"/>
          <w:szCs w:val="14"/>
          <w:color w:val="auto"/>
        </w:rPr>
      </w:pPr>
    </w:p>
    <w:p>
      <w:pPr>
        <w:ind w:left="520" w:right="200" w:hanging="512"/>
        <w:spacing w:after="0" w:line="261"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expects to reclassify $0.6 million in unrealized gains related to the Change in Fair Value of Interest Rate Hedge Agreement from accumulated other comprehensive loss into earnings during the next 12 months.</w:t>
      </w:r>
    </w:p>
    <w:p>
      <w:pPr>
        <w:spacing w:after="0" w:line="54" w:lineRule="exact"/>
        <w:rPr>
          <w:rFonts w:ascii="Times New Roman" w:cs="Times New Roman" w:eastAsia="Times New Roman" w:hAnsi="Times New Roman"/>
          <w:sz w:val="14"/>
          <w:szCs w:val="14"/>
          <w:color w:val="auto"/>
        </w:rPr>
      </w:pPr>
    </w:p>
    <w:p>
      <w:pPr>
        <w:ind w:left="520" w:right="240" w:hanging="512"/>
        <w:spacing w:after="0" w:line="242" w:lineRule="auto"/>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reclassified $4.1 million of effect of taxes related to Foreign Currency Translation Adjustments from accumulated other comprehensive (loss) income into earnings in connection with Section 987 (“IRC 987”) of the Internal Revenue Code of 1986, as amended (the “Internal Revenue Code”). See “Note 13 - Income Taxes”.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current approved share repurchase program allows for share repurchases in the aggregate up to $300.0 million under approved share repurchase plans pursuant to Rules 10b5-1 and 10b-18 under the Exchange Act. The repurchase program and the authorized amount have no expiration date. On an annual basis, the Credit Facility (see “Note 8 - Debt”) permits share repurchases of at least $25.0 million provided that the Company is not in default of its covenants, and higher amounts provided that the Company’s Consolidated Leverage Ratio, prior to and after giving effect to such repurchases, is 0.50 to 1.00 less than the then-applicable maximum Consolidated Leverage Ratio and subject to the Company having net liquidity of at least $100.0 million after giving effect to such repurchases.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Purchases under this program may be made from time to time at prevailing market prices in open market purchases or in privately negotiated transactions pursuant to Rule 10b-18 under the Exchange Act and in accordance with applicable insider trading and other securities laws and regulations. The purchases are funded from existing cash balances and/or borrowings, and the repurchased shares are held in treasury. The timing and extent to which the Company repurchases its shares will depend on market conditions and other corporate considerations in the Company’s sole discretion.</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used $55.3 million to repurchase 563,988 shares at an average price of $98.08 per share and $44.4 million to repurchase 327,321 shares at an average price of $135.77 per share, respectively, under this program. As of December 31, 2025, approximately $94.0 million of authority remained available under the share repurchase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(“ESPP”) under which one million shares have been authorized for issuance. The ESPP allows eligible employees to purchase shares of the Company’s common stock through payroll deductions up to $25,000 per calendar year, per Internal Revenue Services rules, over six-month offering periods at a discount not to exceed 5% of the market value on the date of each purchase period, and therefore the Company does not have any compensation expense related to the ESPP. For the years ended December 31, 2025 and 2024, employees purchased a total of 57,197 and 40,987 shares at an average purchase price of $80.96 and $125.20, respectively. At December 31, 2025 and 2024, there were 450,648 and 507,845 shares remaining available for future issuance under this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2025, 2024, and 2023, domestic and foreign income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5"/>
              </w:rPr>
              <w:t>106,297</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134,068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83,742</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5,696</w:t>
            </w: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3,990</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12,805</w:t>
            </w:r>
          </w:p>
        </w:tc>
      </w:tr>
      <w:tr>
        <w:trPr>
          <w:trHeight w:val="20"/>
        </w:trPr>
        <w:tc>
          <w:tcPr>
            <w:tcW w:w="6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5"/>
              </w:rPr>
              <w:t>111,993</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138,058</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96,547</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18"/>
        </w:trPr>
        <w:tc>
          <w:tcPr>
            <w:tcW w:w="69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-239395</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-222250</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-239395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-222250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32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6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41,276</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w:t>
            </w:r>
          </w:p>
        </w:tc>
        <w:tc>
          <w:tcPr>
            <w:tcW w:w="120" w:type="dxa"/>
            <w:vAlign w:val="bottom"/>
          </w:tcPr>
          <w:p>
            <w:pPr>
              <w:spacing w:after="0"/>
              <w:rPr>
                <w:sz w:val="18"/>
                <w:szCs w:val="18"/>
                <w:color w:val="auto"/>
              </w:rPr>
            </w:pP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20" w:type="dxa"/>
            <w:vAlign w:val="bottom"/>
            <w:shd w:val="clear" w:color="auto" w:fill="CFF0FC"/>
          </w:tcPr>
          <w:p>
            <w:pPr>
              <w:spacing w:after="0"/>
              <w:rPr>
                <w:sz w:val="18"/>
                <w:szCs w:val="18"/>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18"/>
                <w:szCs w:val="18"/>
                <w:color w:val="auto"/>
              </w:rPr>
            </w:pPr>
          </w:p>
        </w:tc>
      </w:tr>
      <w:tr>
        <w:trPr>
          <w:trHeight w:val="210"/>
        </w:trPr>
        <w:tc>
          <w:tcPr>
            <w:tcW w:w="38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current</w:t>
            </w:r>
          </w:p>
        </w:tc>
        <w:tc>
          <w:tcPr>
            <w:tcW w:w="2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59,774</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7"/>
              </w:rPr>
              <w:t>(21,065)</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(20,279)</w:t>
            </w: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(3,519)</w:t>
            </w:r>
          </w:p>
        </w:tc>
        <w:tc>
          <w:tcPr>
            <w:tcW w:w="9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(10,851)</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(6,915)</w:t>
            </w:r>
          </w:p>
        </w:tc>
      </w:tr>
      <w:tr>
        <w:trPr>
          <w:trHeight w:val="216"/>
        </w:trPr>
        <w:tc>
          <w:tcPr>
            <w:tcW w:w="3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2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FF0FC"/>
          </w:tcPr>
          <w:p>
            <w:pPr>
              <w:spacing w:after="0"/>
              <w:rPr>
                <w:sz w:val="18"/>
                <w:szCs w:val="18"/>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deferred</w:t>
            </w: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(31,886)</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(26,800)</w:t>
            </w:r>
          </w:p>
        </w:tc>
      </w:tr>
      <w:tr>
        <w:trPr>
          <w:trHeight w:val="250"/>
        </w:trPr>
        <w:tc>
          <w:tcPr>
            <w:tcW w:w="38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-873760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-873760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-316865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-316865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income tax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ind w:left="520"/>
        <w:spacing w:after="0"/>
        <w:rPr>
          <w:sz w:val="20"/>
          <w:szCs w:val="20"/>
          <w:color w:val="auto"/>
        </w:rPr>
      </w:pPr>
      <w:r>
        <w:rPr>
          <w:rFonts w:ascii="Times New Roman" w:cs="Times New Roman" w:eastAsia="Times New Roman" w:hAnsi="Times New Roman"/>
          <w:sz w:val="18"/>
          <w:szCs w:val="18"/>
          <w:color w:val="auto"/>
        </w:rPr>
        <w:t>The Company’s provision for income taxes differs from the U.S. federal statutory tax rate of 21.0% due to the following reconciling items: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178"/>
        </w:trPr>
        <w:tc>
          <w:tcPr>
            <w:tcW w:w="31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4"/>
        </w:trPr>
        <w:tc>
          <w:tcPr>
            <w:tcW w:w="318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income tax effect </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Puerto Rico: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branch tax</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188"/>
        </w:trPr>
        <w:tc>
          <w:tcPr>
            <w:tcW w:w="3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Effect of changes in tax laws or rates</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244"/>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enacted in the current period </w:t>
            </w:r>
            <w:r>
              <w:rPr>
                <w:rFonts w:ascii="Times New Roman" w:cs="Times New Roman" w:eastAsia="Times New Roman" w:hAnsi="Times New Roman"/>
                <w:sz w:val="21"/>
                <w:szCs w:val="21"/>
                <w:color w:val="auto"/>
                <w:vertAlign w:val="superscript"/>
              </w:rPr>
              <w:t>(2)</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(10,356)</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(14,934)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(15,055)</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tax credits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(3,874)</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(3,120)</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(2,941)</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(2,376)</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18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Capital loss </w:t>
            </w:r>
            <w:r>
              <w:rPr>
                <w:rFonts w:ascii="Times New Roman" w:cs="Times New Roman" w:eastAsia="Times New Roman" w:hAnsi="Times New Roman"/>
                <w:sz w:val="24"/>
                <w:szCs w:val="24"/>
                <w:color w:val="auto"/>
                <w:vertAlign w:val="superscript"/>
              </w:rPr>
              <w:t>(3)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(3,690)</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1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Worthless Stock deduction </w:t>
            </w:r>
            <w:r>
              <w:rPr>
                <w:rFonts w:ascii="Times New Roman" w:cs="Times New Roman" w:eastAsia="Times New Roman" w:hAnsi="Times New Roman"/>
                <w:sz w:val="24"/>
                <w:szCs w:val="24"/>
                <w:color w:val="auto"/>
                <w:vertAlign w:val="superscript"/>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(4,903)</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Excess compensation</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Effective tax</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1460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1460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1454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1454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6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Virginia, Maryland, and the District of Columbia make up the majority (greater than 50 percent) of the tax effect in this category.</w:t>
      </w:r>
    </w:p>
    <w:p>
      <w:pPr>
        <w:spacing w:after="0" w:line="95" w:lineRule="exact"/>
        <w:rPr>
          <w:rFonts w:ascii="Times New Roman" w:cs="Times New Roman" w:eastAsia="Times New Roman" w:hAnsi="Times New Roman"/>
          <w:sz w:val="14"/>
          <w:szCs w:val="14"/>
          <w:color w:val="auto"/>
        </w:rPr>
      </w:pPr>
    </w:p>
    <w:p>
      <w:pPr>
        <w:ind w:left="520" w:right="20" w:hanging="512"/>
        <w:spacing w:after="0" w:line="229"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2025 provision for income tax includes a benefit recognized in the first fiscal quarter of 2025 from tax planning implemented in connection with the “transitional rules” governing unrealized foreign exchange gains and losses derived from translation of the operations, assets and liabilities of non-U.S. qualified subsidiaries provided by recently finalized U.S. federal tax regulations under IRC 987. The regulations under IRC 987 are effective for the Company for tax years beginning after December 31, 2024, and require computation of a pre-transition foreign currency gain or loss to be included in the determination of future taxable income or loss and an analysis of the various elections available to taxpayers. Based on the Company’s current analysis of the regulations and the available election to amortize its pre-2025 cumulative unrealized foreign exchange gains and losses impacting U.S. taxation of foreign earnings under Subpart F of the Internal Revenue Code, the Company recognized a non-cash deferred income tax benefit of $4.5 million related to its election to amortize its pre-transition foreign currency losses against taxable income over ten years.</w:t>
      </w:r>
    </w:p>
    <w:p>
      <w:pPr>
        <w:spacing w:after="0" w:line="72" w:lineRule="exact"/>
        <w:rPr>
          <w:rFonts w:ascii="Times New Roman" w:cs="Times New Roman" w:eastAsia="Times New Roman" w:hAnsi="Times New Roman"/>
          <w:sz w:val="14"/>
          <w:szCs w:val="14"/>
          <w:color w:val="auto"/>
        </w:rPr>
      </w:pPr>
    </w:p>
    <w:p>
      <w:pPr>
        <w:ind w:left="520" w:right="340" w:hanging="512"/>
        <w:spacing w:after="0" w:line="261"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the Company restructured the ownership of its Canadian entities for tax purposes, resulting in a 3.8% decrease in the Company’s effective income tax rate for the year ended December 31, 2023.</w:t>
      </w:r>
    </w:p>
    <w:p>
      <w:pPr>
        <w:spacing w:after="0" w:line="54" w:lineRule="exact"/>
        <w:rPr>
          <w:rFonts w:ascii="Times New Roman" w:cs="Times New Roman" w:eastAsia="Times New Roman" w:hAnsi="Times New Roman"/>
          <w:sz w:val="14"/>
          <w:szCs w:val="14"/>
          <w:color w:val="auto"/>
        </w:rPr>
      </w:pPr>
    </w:p>
    <w:p>
      <w:pPr>
        <w:ind w:left="520" w:right="280" w:hanging="512"/>
        <w:spacing w:after="0" w:line="261" w:lineRule="auto"/>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the Company liquidated one of its U.K. subsidiaries as part of the wind-down of its commercial marketing business, resulting in a reduction in the Company’s effective income tax rate of 5.1% for the year ended December 31,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ind w:left="520"/>
        <w:spacing w:after="0"/>
        <w:rPr>
          <w:sz w:val="20"/>
          <w:szCs w:val="20"/>
          <w:color w:val="auto"/>
        </w:rPr>
      </w:pPr>
      <w:r>
        <w:rPr>
          <w:rFonts w:ascii="Times New Roman" w:cs="Times New Roman" w:eastAsia="Times New Roman" w:hAnsi="Times New Roman"/>
          <w:sz w:val="18"/>
          <w:szCs w:val="18"/>
          <w:color w:val="auto"/>
        </w:rPr>
        <w:t>Income taxes paid, net of refunds received,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160" w:type="dxa"/>
            <w:vAlign w:val="bottom"/>
            <w:shd w:val="clear" w:color="auto" w:fill="CFF0FC"/>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Maryland</w:t>
            </w: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Virginia</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District of Columbia</w:t>
            </w: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8"/>
                <w:szCs w:val="18"/>
                <w:color w:val="auto"/>
              </w:rPr>
            </w:pPr>
          </w:p>
        </w:tc>
      </w:tr>
      <w:tr>
        <w:trPr>
          <w:trHeight w:val="209"/>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state and local</w:t>
            </w: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U.K.</w:t>
            </w:r>
          </w:p>
        </w:tc>
        <w:tc>
          <w:tcPr>
            <w:tcW w:w="1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8"/>
                <w:szCs w:val="18"/>
                <w:color w:val="auto"/>
              </w:rPr>
            </w:pPr>
          </w:p>
        </w:tc>
      </w:tr>
      <w:tr>
        <w:trPr>
          <w:trHeight w:val="209"/>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foreign</w:t>
            </w:r>
          </w:p>
        </w:tc>
        <w:tc>
          <w:tcPr>
            <w:tcW w:w="1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16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28,075</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58,807</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23,218</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-170815</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taxes paid to California, New York, New Jersey, and Texas.</w:t>
      </w:r>
    </w:p>
    <w:p>
      <w:pPr>
        <w:spacing w:after="0" w:line="95"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taxes paid to Belgium and Puerto Rico.</w:t>
      </w:r>
    </w:p>
    <w:p>
      <w:pPr>
        <w:spacing w:after="0" w:line="10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deferred tax assets and liabilities based on the rates at which they are expected to reverse in the future, which is 27.0%. Deferred tax assets (liabilities) consisted of the following at December 31: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paid time off</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net operating loss carryforward</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compensation</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tax credits</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tax credits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exchange</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Section 987 pretransition loss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tax credits</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deferred</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bonus</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loss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Facilities impairment</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70,617</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8"/>
                <w:szCs w:val="18"/>
                <w:color w:val="auto"/>
              </w:rPr>
            </w:pPr>
          </w:p>
        </w:tc>
      </w:tr>
      <w:tr>
        <w:trPr>
          <w:trHeight w:val="216"/>
        </w:trPr>
        <w:tc>
          <w:tcPr>
            <w:tcW w:w="44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28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157,499</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169,695</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Less: Valuation Allowance</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(11,044)</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(9,627)</w:t>
            </w:r>
          </w:p>
        </w:tc>
      </w:tr>
      <w:tr>
        <w:trPr>
          <w:trHeight w:val="210"/>
        </w:trPr>
        <w:tc>
          <w:tcPr>
            <w:tcW w:w="446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8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146,455</w:t>
            </w:r>
          </w:p>
        </w:tc>
        <w:tc>
          <w:tcPr>
            <w:tcW w:w="2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160,068</w:t>
            </w:r>
          </w:p>
        </w:tc>
        <w:tc>
          <w:tcPr>
            <w:tcW w:w="100" w:type="dxa"/>
            <w:vAlign w:val="bottom"/>
            <w:tcBorders>
              <w:top w:val="single" w:sz="8" w:color="CFF0FC"/>
            </w:tcBorders>
          </w:tcPr>
          <w:p>
            <w:pPr>
              <w:spacing w:after="0"/>
              <w:rPr>
                <w:sz w:val="18"/>
                <w:szCs w:val="18"/>
                <w:color w:val="auto"/>
              </w:rPr>
            </w:pPr>
          </w:p>
        </w:tc>
      </w:tr>
      <w:tr>
        <w:trPr>
          <w:trHeight w:val="209"/>
        </w:trPr>
        <w:tc>
          <w:tcPr>
            <w:tcW w:w="446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Payroll taxes</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Unbilled revenue</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4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(107,154)</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(108,009)</w:t>
            </w:r>
          </w:p>
        </w:tc>
      </w:tr>
      <w:tr>
        <w:trPr>
          <w:trHeight w:val="216"/>
        </w:trPr>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gain and other</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(2,418)</w:t>
            </w:r>
          </w:p>
        </w:tc>
        <w:tc>
          <w:tcPr>
            <w:tcW w:w="4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(2,543)</w:t>
            </w:r>
          </w:p>
        </w:tc>
      </w:tr>
      <w:tr>
        <w:trPr>
          <w:trHeight w:val="216"/>
        </w:trPr>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assets - right-of-use</w:t>
            </w:r>
          </w:p>
        </w:tc>
        <w:tc>
          <w:tcPr>
            <w:tcW w:w="2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(42,101)</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(46,790)</w:t>
            </w:r>
          </w:p>
        </w:tc>
      </w:tr>
      <w:tr>
        <w:trPr>
          <w:trHeight w:val="20"/>
        </w:trPr>
        <w:tc>
          <w:tcPr>
            <w:tcW w:w="4460" w:type="dxa"/>
            <w:vAlign w:val="bottom"/>
            <w:shd w:val="clear" w:color="auto" w:fill="CFF0FC"/>
          </w:tcPr>
          <w:p>
            <w:pPr>
              <w:spacing w:after="0" w:line="20" w:lineRule="exact"/>
              <w:rPr>
                <w:sz w:val="1"/>
                <w:szCs w:val="1"/>
                <w:color w:val="auto"/>
              </w:rPr>
            </w:pPr>
          </w:p>
        </w:tc>
        <w:tc>
          <w:tcPr>
            <w:tcW w:w="28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(153,292)</w:t>
            </w:r>
          </w:p>
        </w:tc>
        <w:tc>
          <w:tcPr>
            <w:tcW w:w="4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(158,465)</w:t>
            </w:r>
          </w:p>
        </w:tc>
      </w:tr>
      <w:tr>
        <w:trPr>
          <w:trHeight w:val="20"/>
        </w:trPr>
        <w:tc>
          <w:tcPr>
            <w:tcW w:w="4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Net Deferred Tax Assets (Liabilities)</w:t>
            </w:r>
          </w:p>
        </w:tc>
        <w:tc>
          <w:tcPr>
            <w:tcW w:w="3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(6,837)</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1"/>
                <w:szCs w:val="21"/>
                <w:color w:val="auto"/>
              </w:rPr>
            </w:pPr>
          </w:p>
        </w:tc>
      </w:tr>
      <w:tr>
        <w:trPr>
          <w:trHeight w:val="736"/>
        </w:trPr>
        <w:tc>
          <w:tcPr>
            <w:tcW w:w="446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F-26</w:t>
            </w: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-2691130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-2407920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-1293495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-1002030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-984885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Company’s 2022, 2023, and 2024 tax years remain subject to examination by the Internal Revenue Service for federal tax purposes. Certain significant state and foreign tax jurisdictions are also either currently under examination or remain open under the statutes of limitation and subject to examination for the tax years from 2021, 2022, 2023, and 2024.</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“OB3 Act”). The OB3 Act made permanent changes to certain key elements of the Tax Cuts and Jobs Act of 2017 (the “TCJA”), including 100% bonus depreciation, domestic research cost expensing, the business interest expense limitation, and the repeal of various clean energy tax credits. As a result, the OB3 Act impacted the Company’s income tax payables and deferred tax assets as of July 4, 2025, the date of enactment, via the reversal of approximately $32.0 million of deferred tax assets resulting from capitalized research expenses incurred through June 30, 2025. The reversal is reflected on the Company’s annual financial statements as of and for the year ended December 31, 2025. These capitalized research expenses are being recovered over their remaining useful lives as outlined in IRC 174A enacted via the OB3 Act.</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gross state income tax credit carryforwards of approximately $1.7 million, which expire between 2025 and 2030. A deferred tax asset of approximately $1.3 million, net of federal benefit, has been established related to these state income tax credit carryforwards as of December 31, 2025.</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need to establish valuation allowances for deferred assets is based on a more-likely-than-not threshold that the benefit of such assets will be realized in future periods. Appropriate consideration has been given to all available evidence, including historical operating results, projections of taxable income, and tax planning alternatives. The Company concluded that a $0.4 million valuation allowance was required for tax attributes related to specified state jurisdictions, a $1.1 million valuation allowance was required for tax attributes related to capital loss carryforwards, a $0.7 million valuation allowance was required for certain equity-based compensation assets, and an additional $8.7 million valuation allowance was required against our U.S. foreign tax credit carryforwards.</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as of December 31, 2025 and 2024 was $24.7 million and $25.8 million, respectively, which includes $18.2 million and $15.0 million, respectively, of tax positions that, if recognized, would impact the effective rate. The unrecognized tax benefits and the related accrued interest are part of other long-term liabilities on the Company’s consolidated balance sheets.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unrecognized tax benefits, excluding penalty and interest, are as follows at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41 tax credit</w:t>
            </w:r>
          </w:p>
        </w:tc>
        <w:tc>
          <w:tcPr>
            <w:tcW w:w="2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shd w:val="clear" w:color="auto" w:fill="CCEEFF"/>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Section 174 expense capitalization</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transfer pricing</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24,690</w:t>
            </w:r>
          </w:p>
        </w:tc>
        <w:tc>
          <w:tcPr>
            <w:tcW w:w="6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unrecognized tax benefit reconciliation, excluding penalty and interest, is as follows:</w:t>
            </w: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January 1, 2023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attributable to tax positions taken during a prior period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 attributable to tax positions taken during the current period</w:t>
            </w: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Unrecognized tax benefits at December 31, 2023</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Decrease attributable to tax positions taken during a prior period</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16"/>
        </w:trPr>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Increase attributable to tax positions taken during the current period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at December 31, 2024</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Decrease attributable to tax positions taken during a prior period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Increase attributable to tax positions taken during the current period</w:t>
            </w: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December 31, 2025</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F-27</w:t>
            </w: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-2776855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June 1, 2023, the Company’s stockholders approved an amendment and restatement of the 2018 Omnibus Plan (the “2018 A&amp;R Omnibus Plan”) which increased the number of shares available for issuance to 2,050,000 shares using stock options, stock appreciation rights, restricted stock, RSUs, performance units and PSAs, cash-based awards, and other stock-based awards to all key officers, key employees, and non-employee directors of the Company. As of December 31, 2025, the Company had approximately 785,433 shares available for grant under the A&amp;R 2018 Omnibus Plan.</w:t>
      </w:r>
    </w:p>
    <w:p>
      <w:pPr>
        <w:spacing w:after="0" w:line="72" w:lineRule="exact"/>
        <w:rPr>
          <w:sz w:val="20"/>
          <w:szCs w:val="20"/>
          <w:color w:val="auto"/>
        </w:rPr>
      </w:pPr>
    </w:p>
    <w:p>
      <w:pPr>
        <w:jc w:val="both"/>
        <w:ind w:right="86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included as part of direct costs and indirect and selling expenses on the consolidated statements of comprehensive income. The total stock-based compensation expense for the years ended December 31, 2025, 2024, and 2023, the unrecognized compensation expense at December 31, 2025, and the weighted-average period to recognize the remaining unrecognized shares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9"/>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Recognized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3"/>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00" w:type="dxa"/>
            <w:vAlign w:val="bottom"/>
          </w:tcPr>
          <w:p>
            <w:pPr>
              <w:spacing w:after="0"/>
              <w:rPr>
                <w:sz w:val="16"/>
                <w:szCs w:val="16"/>
                <w:color w:val="auto"/>
              </w:rPr>
            </w:pPr>
          </w:p>
        </w:tc>
      </w:tr>
      <w:tr>
        <w:trPr>
          <w:trHeight w:val="238"/>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187"/>
        </w:trPr>
        <w:tc>
          <w:tcPr>
            <w:tcW w:w="5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Period to</w:t>
            </w:r>
          </w:p>
        </w:tc>
      </w:tr>
      <w:tr>
        <w:trPr>
          <w:trHeight w:val="216"/>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Recognize</w:t>
            </w:r>
          </w:p>
        </w:tc>
      </w:tr>
      <w:tr>
        <w:trPr>
          <w:trHeight w:val="238"/>
        </w:trPr>
        <w:tc>
          <w:tcPr>
            <w:tcW w:w="5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11,256</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10,654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9,413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14,527</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Cash-Settled Restricted Stock Units</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4,291</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8,341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Non-Employee Director Awards</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Shares</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5,410</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5,096</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21,976</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25,063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22,919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26,608</w:t>
            </w: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stock-based compensation expense is deductible for income tax purposes. The income tax expense reflects adjustments for differences between the stock-based compensation expense and the actual compensation included in award recipient’s gross income. For the year ended December 31, 2025, the Company recognized an additional $0.4 million of shortfall tax expense related to stock-based compensation. For the years ended December 31, 2024 and 2023, the Company recognized windfall tax benefits of $2.4 million, and $1.1 million, respectively, related to stock-based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RSUs generally have a vesting term of three years. On vesting the employee is issued one share of stock for each RSU awarded. The fair value of shares vested was $9.7 million, $10.3 million, and $7.3 million for the years ended December 31, 2025, 2024, and 2023,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RSUs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January 1, 2023</w:t>
            </w:r>
          </w:p>
        </w:tc>
        <w:tc>
          <w:tcPr>
            <w:tcW w:w="3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284,826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88.23</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89,388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3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(93,881)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78.05</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2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December 31, 2023</w:t>
            </w:r>
          </w:p>
        </w:tc>
        <w:tc>
          <w:tcPr>
            <w:tcW w:w="22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258,518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99.25</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86,428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3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(107,168)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95.65</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2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(26,807)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December 31, 2024</w:t>
            </w:r>
          </w:p>
        </w:tc>
        <w:tc>
          <w:tcPr>
            <w:tcW w:w="22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210,971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121.86</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149,102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38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(86,741)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111.40</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22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(10,453)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December 31, 2025</w:t>
            </w:r>
          </w:p>
        </w:tc>
        <w:tc>
          <w:tcPr>
            <w:tcW w:w="2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104.83</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22,424</w:t>
            </w: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RSUs expected to vest in the future</w:t>
            </w:r>
          </w:p>
        </w:tc>
        <w:tc>
          <w:tcPr>
            <w:tcW w:w="224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242,730</w:t>
            </w:r>
          </w:p>
        </w:tc>
        <w:tc>
          <w:tcPr>
            <w:tcW w:w="2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105.26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20,705</w:t>
            </w:r>
          </w:p>
        </w:tc>
      </w:tr>
      <w:tr>
        <w:trPr>
          <w:trHeight w:val="20"/>
        </w:trPr>
        <w:tc>
          <w:tcPr>
            <w:tcW w:w="4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4"/>
        </w:trPr>
        <w:tc>
          <w:tcPr>
            <w:tcW w:w="4200" w:type="dxa"/>
            <w:vAlign w:val="bottom"/>
          </w:tcPr>
          <w:p>
            <w:pPr>
              <w:spacing w:after="0"/>
              <w:rPr>
                <w:sz w:val="24"/>
                <w:szCs w:val="24"/>
                <w:color w:val="auto"/>
              </w:rPr>
            </w:pPr>
          </w:p>
        </w:tc>
        <w:tc>
          <w:tcPr>
            <w:tcW w:w="3860" w:type="dxa"/>
            <w:vAlign w:val="bottom"/>
            <w:gridSpan w:val="3"/>
          </w:tcPr>
          <w:p>
            <w:pPr>
              <w:jc w:val="right"/>
              <w:ind w:right="2260"/>
              <w:spacing w:after="0"/>
              <w:rPr>
                <w:sz w:val="20"/>
                <w:szCs w:val="20"/>
                <w:color w:val="auto"/>
              </w:rPr>
            </w:pPr>
            <w:r>
              <w:rPr>
                <w:rFonts w:ascii="Times New Roman" w:cs="Times New Roman" w:eastAsia="Times New Roman" w:hAnsi="Times New Roman"/>
                <w:sz w:val="18"/>
                <w:szCs w:val="18"/>
                <w:color w:val="auto"/>
              </w:rPr>
              <w:t>F-28</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-1036320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-1019175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8"/>
          <w:szCs w:val="18"/>
          <w:color w:val="auto"/>
        </w:rPr>
        <w:t>The aggregate intrinsic value in the preceding table is based on the Company’s closing stock price of $85.30 per share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Cash-Settled Restricted Stock Units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CSRSUs generally have a vesting term of three years. The fair value of CSRSUs vested and settled in cash for the years ended December 31, 2025, 2024, and 2023 was $6.4 million, $7.8 million and $7.9 million,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summary of the Company’s CSRSUs is presented below:</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2"/>
        </w:trPr>
        <w:tc>
          <w:tcPr>
            <w:tcW w:w="6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6440" w:type="dxa"/>
            <w:vAlign w:val="bottom"/>
          </w:tcPr>
          <w:p>
            <w:pPr>
              <w:spacing w:after="0"/>
              <w:rPr>
                <w:sz w:val="18"/>
                <w:szCs w:val="18"/>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644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CSRSUs at January 1,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188,419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87.28</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70,742</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110.65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(81,537)</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76.26</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(19,040)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CSRSUs at December 31, 2023</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158,584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102.82</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38,653</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(58,078)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99.30</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(9,424)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CSRSUs at December 31, 2024</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129,735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118.51</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84.89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(70,117)</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108.54</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(10,327)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115.34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CSRSUs at December 31, 2025</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125,597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103.91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10,713</w:t>
            </w:r>
          </w:p>
        </w:tc>
      </w:tr>
      <w:tr>
        <w:trPr>
          <w:trHeight w:val="197"/>
        </w:trPr>
        <w:tc>
          <w:tcPr>
            <w:tcW w:w="6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CSRSUs expected to vest in the future</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113,255</w:t>
            </w:r>
          </w:p>
        </w:tc>
        <w:tc>
          <w:tcPr>
            <w:tcW w:w="26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104.54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9,661</w:t>
            </w:r>
          </w:p>
        </w:tc>
      </w:tr>
      <w:tr>
        <w:trPr>
          <w:trHeight w:val="20"/>
        </w:trPr>
        <w:tc>
          <w:tcPr>
            <w:tcW w:w="6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-187960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in the preceding table is based on the Company’s closing stock price of $85.30 per share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grants awards of registered shares to its non-employee directors on an annual basis under the A&amp;R Omnibus Plan.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non-employee director awards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64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644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January 1,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94.79</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(9,457)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109.14</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December 31, 2023</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127.81</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(7,414)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131.43</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December 31, 2024</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135.91</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(9,770)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103.53</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RSUs at December 31, 2025</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87.16</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r>
      <w:tr>
        <w:trPr>
          <w:trHeight w:val="196"/>
        </w:trPr>
        <w:tc>
          <w:tcPr>
            <w:tcW w:w="6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RSUs expected to vest in the future</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6,020</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87.16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514</w:t>
            </w:r>
          </w:p>
        </w:tc>
      </w:tr>
      <w:tr>
        <w:trPr>
          <w:trHeight w:val="20"/>
        </w:trPr>
        <w:tc>
          <w:tcPr>
            <w:tcW w:w="6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-187960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in the preceding table is based on the Company’s closing stock price of $85.30 per share as of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Company’s performance-based share program (the “Program”) provides for the issuance of PSAs to its senior management. Under the Program, the PSAs that the participant will receive depends on the Company’s achievement of two performance goals during two performance periods. The performance goals under the Program are based on (i) the Company’s compounded annual growth rate in EPS (adjusted to exclude certain items specified in the award’s agreement) during a two-year performance period (the “Initial Period”) and (ii) the Company’s cumulative total shareholder return relative to its peer group (“rTSR”) during a performance period from the first day of the performance period (typically January 1 of the year awarded) to the last day of the third year of the performance period (typically December 31). The PSAs will only be eligible to vest following the expiration of the three-year performance period. The actual shares vested will be subject to both continued employment by the Company (barring certain exceptions allowing for partial performance periods) and actual financial measures achieved. The final number of shares of common stock that will be issued to each participant at the end of the applicable performance period will be determined by multiplying the award by the product of two percentages: the first based on the Company’s EPS performance and the second based on the Company’s rTSR performance, subject to a minimum and maximum performance level. As of December 31, 2025, shares granted during 2023, 2024, and 2025 are within year three, two, and one of the performance periods, respectively, and therefore have not fully vested. A total of 38,079 shares granted in 2022 vested during 2025 after meeting the performance goals. As of December 31, 2025, a total of 99,342 shares granted in 2023 and 2024 are expected to vest in the future based on estimated financial measures achieved in the Initial Period and rTSR performance.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summary of the Company’s PSAs is presented below:</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2"/>
        </w:trPr>
        <w:tc>
          <w:tcPr>
            <w:tcW w:w="6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64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644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PSAs at January 1,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120,687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79.42</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(45,141)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58.76</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(6,934)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PSAs at December 31, 2023</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102.12</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(46,630)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95.72</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PSAs at December 31, 2024</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122.68</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77.34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(38,079)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93.97</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PSAs at December 31, 2025</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104.42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11,729</w:t>
            </w:r>
          </w:p>
        </w:tc>
      </w:tr>
      <w:tr>
        <w:trPr>
          <w:trHeight w:val="196"/>
        </w:trPr>
        <w:tc>
          <w:tcPr>
            <w:tcW w:w="6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PSAs expected to vest in the future</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99,342</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8,474</w:t>
            </w:r>
          </w:p>
        </w:tc>
      </w:tr>
      <w:tr>
        <w:trPr>
          <w:trHeight w:val="20"/>
        </w:trPr>
        <w:tc>
          <w:tcPr>
            <w:tcW w:w="6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-187960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in the preceding table is based on the Company’s closing stock price of $85.30 per share as of December 31, 2025.</w:t>
      </w:r>
    </w:p>
    <w:p>
      <w:pPr>
        <w:spacing w:after="0" w:line="11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awards is estimated on the grant date using a Monte Carlo simulation model due to the market condition for the rTSR component. The fair value assumptions using the Monte Carlo simulation model for awards granted in 2025, 2024, and 2023 were: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r>
      <w:tr>
        <w:trPr>
          <w:trHeight w:val="210"/>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Historical Volatility</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7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 of Returns</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ACQUISITIONS AND DIVESTITURES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Applied Energy Group, Inc.</w:t>
      </w:r>
    </w:p>
    <w:p>
      <w:pPr>
        <w:spacing w:after="0" w:line="11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On December 31, 2024, the Company completed the acquisition of Applied Energy Group, Inc. (“AEG”), an energy technology and advisory services company, for $59.9 million in cash consideration. AEG provides a suite of integrated technology and advisory solutions to electric and gas utilities, state and local governments, and state energy offices nationwide which further enhance the Company’s service offering and client footprint.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part of the allocation of the purchase consideration, the Company recorded the following:</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working capital</w:t>
            </w:r>
          </w:p>
        </w:tc>
        <w:tc>
          <w:tcPr>
            <w:tcW w:w="102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Customer-related intangibles</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1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considerations</w:t>
            </w:r>
          </w:p>
        </w:tc>
        <w:tc>
          <w:tcPr>
            <w:tcW w:w="1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59,869</w:t>
            </w:r>
          </w:p>
        </w:tc>
        <w:tc>
          <w:tcPr>
            <w:tcW w:w="10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Net working capital includes restricted cash of $5.4 million, accounts receivable of $4.4 million, contract assets of $2.6 million, accrued expenses of $6.6 million, accounts payable of $1.3 million, and other assets and liabilities of $0.7 million.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allocation of the purchase consideration was finalized during the third quarter of the 2025 fiscal year.</w:t>
            </w:r>
          </w:p>
        </w:tc>
        <w:tc>
          <w:tcPr>
            <w:tcW w:w="1880" w:type="dxa"/>
            <w:vAlign w:val="bottom"/>
          </w:tcPr>
          <w:p>
            <w:pPr>
              <w:spacing w:after="0"/>
              <w:rPr>
                <w:sz w:val="20"/>
                <w:szCs w:val="20"/>
                <w:color w:val="auto"/>
              </w:rPr>
            </w:pPr>
          </w:p>
        </w:tc>
      </w:tr>
      <w:tr>
        <w:trPr>
          <w:trHeight w:val="324"/>
        </w:trPr>
        <w:tc>
          <w:tcPr>
            <w:tcW w:w="9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estimated useful lives of acquired intangible assets are as follows:</w:t>
            </w:r>
          </w:p>
        </w:tc>
        <w:tc>
          <w:tcPr>
            <w:tcW w:w="1880" w:type="dxa"/>
            <w:vAlign w:val="bottom"/>
          </w:tcPr>
          <w:p>
            <w:pPr>
              <w:spacing w:after="0"/>
              <w:rPr>
                <w:sz w:val="24"/>
                <w:szCs w:val="24"/>
                <w:color w:val="auto"/>
              </w:rPr>
            </w:pPr>
          </w:p>
        </w:tc>
      </w:tr>
      <w:tr>
        <w:trPr>
          <w:trHeight w:val="108"/>
        </w:trPr>
        <w:tc>
          <w:tcPr>
            <w:tcW w:w="936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216"/>
        </w:trPr>
        <w:tc>
          <w:tcPr>
            <w:tcW w:w="9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Customer-related intangibles</w:t>
            </w:r>
          </w:p>
        </w:tc>
        <w:tc>
          <w:tcPr>
            <w:tcW w:w="18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8"/>
              </w:rPr>
              <w:t>6.0 years</w:t>
            </w:r>
          </w:p>
        </w:tc>
      </w:tr>
      <w:tr>
        <w:trPr>
          <w:trHeight w:val="216"/>
        </w:trPr>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188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8"/>
              </w:rPr>
              <w:t>4.0 years</w:t>
            </w:r>
          </w:p>
        </w:tc>
      </w:tr>
      <w:tr>
        <w:trPr>
          <w:trHeight w:val="216"/>
        </w:trPr>
        <w:tc>
          <w:tcPr>
            <w:tcW w:w="9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8"/>
              </w:rPr>
              <w:t>0.3 years</w:t>
            </w:r>
          </w:p>
        </w:tc>
      </w:tr>
    </w:tbl>
    <w:p>
      <w:pPr>
        <w:spacing w:after="0" w:line="9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goodwill is attributable to the workforce of AEG and expected synergies with the Company. Goodwill has an indefinite life, and is deductible for income tax purposes. The pro-forma impact of the acquisition is not material to the Company’s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CMY Solutions, LLC</w:t>
      </w:r>
    </w:p>
    <w:p>
      <w:pPr>
        <w:spacing w:after="0" w:line="119"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On May 1, 2023, the Company acquired CMY Solutions, LLC (“CMY”), a privately-held company that provides engineering and automation solutions to utilities and organizations, for $32.6 million in cash. The acquisition enhances the Company’s offerings in the field of power and energy advisory services.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 part of the allocation of purchase consideration, the Company recorded the following:</w:t>
            </w: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working capital</w:t>
            </w:r>
          </w:p>
        </w:tc>
        <w:tc>
          <w:tcPr>
            <w:tcW w:w="102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Customer-related intangibles</w:t>
            </w:r>
          </w:p>
        </w:tc>
        <w:tc>
          <w:tcPr>
            <w:tcW w:w="10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Pr>
          <w:p>
            <w:pPr>
              <w:spacing w:after="0"/>
              <w:rPr>
                <w:sz w:val="18"/>
                <w:szCs w:val="18"/>
                <w:color w:val="auto"/>
              </w:rPr>
            </w:pPr>
          </w:p>
        </w:tc>
      </w:tr>
      <w:tr>
        <w:trPr>
          <w:trHeight w:val="250"/>
        </w:trPr>
        <w:tc>
          <w:tcPr>
            <w:tcW w:w="86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 considerations</w:t>
            </w:r>
          </w:p>
        </w:tc>
        <w:tc>
          <w:tcPr>
            <w:tcW w:w="102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05"/>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estimated useful lives of acquired intangible assets are as follows:</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86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40" w:type="dxa"/>
            <w:vAlign w:val="bottom"/>
            <w:gridSpan w:val="2"/>
          </w:tcPr>
          <w:p>
            <w:pPr>
              <w:spacing w:after="0"/>
              <w:rPr>
                <w:sz w:val="9"/>
                <w:szCs w:val="9"/>
                <w:color w:val="auto"/>
              </w:rPr>
            </w:pPr>
          </w:p>
        </w:tc>
      </w:tr>
      <w:tr>
        <w:trPr>
          <w:trHeight w:val="216"/>
        </w:trPr>
        <w:tc>
          <w:tcPr>
            <w:tcW w:w="8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Customer-related intangibles</w:t>
            </w:r>
          </w:p>
        </w:tc>
        <w:tc>
          <w:tcPr>
            <w:tcW w:w="10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8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-585470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-568325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Goodwill has an indefinite life and is deductible for income tax purposes. The pro-forma impact of the acquisition is not material to the Company’s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Marketing</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September 12, 2023, the Company completed the divesture of its U.S. commercial marketing business for $47.1 million in cash. The disposal of the commercial marketing business was not a major strategic shift that was significant to the Company’s operations and financial results. For the years ended December 31, 2024 and 2023, the Company recorded pre-tax gain of $2.0 million and $2.5 million, respectively, that are included within other income on the Company’s consolidated statements of comprehensive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and SMS Messaging Aggregator Business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November 1, 2023, the Company completed the divesture of its Canadian mobile and Short Message Service (“SMS”) messaging aggregator business for $5.4 million in cash. The disposal of the mobile aggregation and SMS messaging aggregator business was not a major strategic shift that was significant to the Company’s operations and financial results. In connection with the sale, the Company recorded a pre-tax gain of $3.2 million that is included within other (expense) income on the Company’s consolidated statements of comprehensive income for the year ended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 16 - EARNINGS PER SHARE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EPS is computed by dividing reported net income by the weighted-average number of shares outstanding. Diluted EPS considers the potential dilution that could occur if common stock equivalents of stock options, RSUs, and PSAs were exercised or converted into stock. PSAs are included in the computation of diluted shares only to the extent that the underlying performance conditions: (i) are satisfied as of the end of the reporting period or (ii) would be considered satisfied if the end of the reporting period were the end of the related performance period and the result would be dilutive under the treasury stock method.</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PSAs granted during the year ended December 31, 2023 and 2024 met the related performance conditions for the initial performance period and were included in the calculation of diluted EPS; however, the PSAs granted during the year ended December 31, 2025 have not yet completed their initial two-year performance period and therefore were excluded in the calculation of diluted EPS.</w:t>
      </w:r>
    </w:p>
    <w:p>
      <w:pPr>
        <w:spacing w:after="0" w:line="6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There were 32,629, 518, and 1,925 of potentially dilutive shares of stock awards that were excluded from the calculation of weighted-average diluted share computations for the years ended December 31, 2025, 2024, and 2023, respectively, because they were anti-dilutive.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EPS, including the dilutive effect of stock awards for each period reported, is summarized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4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110,170</w:t>
            </w:r>
          </w:p>
        </w:tc>
        <w:tc>
          <w:tcPr>
            <w:tcW w:w="5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82,612</w:t>
            </w:r>
          </w:p>
        </w:tc>
        <w:tc>
          <w:tcPr>
            <w:tcW w:w="100" w:type="dxa"/>
            <w:vAlign w:val="bottom"/>
            <w:shd w:val="clear" w:color="auto" w:fill="CCEEFF"/>
          </w:tcPr>
          <w:p>
            <w:pPr>
              <w:spacing w:after="0"/>
              <w:rPr>
                <w:sz w:val="21"/>
                <w:szCs w:val="21"/>
                <w:color w:val="auto"/>
              </w:rPr>
            </w:pPr>
          </w:p>
        </w:tc>
      </w:tr>
      <w:tr>
        <w:trPr>
          <w:trHeight w:val="197"/>
        </w:trPr>
        <w:tc>
          <w:tcPr>
            <w:tcW w:w="70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basic shares outstanding during the period</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RSUs, and performance shares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r>
      <w:tr>
        <w:trPr>
          <w:trHeight w:val="250"/>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diluted shares outstanding during the period</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4.95</w:t>
            </w:r>
          </w:p>
        </w:tc>
        <w:tc>
          <w:tcPr>
            <w:tcW w:w="540" w:type="dxa"/>
            <w:vAlign w:val="bottom"/>
            <w:gridSpan w:val="3"/>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5.82</w:t>
            </w:r>
          </w:p>
        </w:tc>
        <w:tc>
          <w:tcPr>
            <w:tcW w:w="52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-1071245</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-1053465</wp:posOffset>
            </wp:positionV>
            <wp:extent cx="77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-1071245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-1053465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-487680</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-471170</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-487680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-471170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774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and Guarantees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and 2024, the Company had open standby letters of credit totaling $1.6 million and $1.6 million, respectively, and guarantees of $7.0 million and $8.2 million issued by its banks. The letters of credit and guarantees were primarily for the Company’s facility leases and contract performance obligations. The open standby letters of credit reduce the Company’s unused borrowing capacity under its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Claims</w:t>
      </w:r>
    </w:p>
    <w:p>
      <w:pPr>
        <w:spacing w:after="0" w:line="121"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legal matters and proceedings arising in the ordinary course of business. While these matters and proceedings cause it to incur costs, including, but not limited to, attorneys’ fees, the Company currently believes that any ultimate liability arising out of these matters and proceedings will not have a material adverse effect on the Company’s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Effective June 30, 1999, the Company established the ICF Consulting Group Retirement Savings Plan (the “Retirement Savings Plan”). The Retirement Savings Plan is a defined contribution profit sharing plan with a cash or deferred arrangement under Section 401(k) of the Internal Revenue Code. Participants are able to elect to defer up to 70% of their compensation, subject to statutory limitations, and are entitled to receive 100% employer matching contributions for the first 3% and 50% for the next 2% of their compensation. The Company’s contribution expense for the years ended December 31, 2025, 2024, and 2023 was $26.1 million, $26.8 million, and $25.4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Certain key employees of the Company are eligible to defer a specified percentage of their cash compensation to a non-qualified deferred compensation plan. Eligible employees may elect to defer up to 80% of their base salary and up to 100% of performance bonuses, reduced by any amounts withheld for the payment of taxes or other deductions required by law. Participants are always 100% vested in their account balances. The Company funds its deferred compensation liabilities by making cash contributions to a Rabbi Trust (the “Trust”) at the time the salary or bonus being deferred would otherwise be payable to the employee. As of December 31, 2025 and 2024, the deferred compensation liabilities to plan participants totaled $26.2 million and $24.3 million, respectively, which were materially funded by assets in the Trust.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EXIT ACTIVITIES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and paid $2.5 million in retention and severance benefits related to the wind-down of its non-core commercial marketing and communication businesses in the U.K. and Belgium. The exit activity was completed as of December 31, 2023.</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the divestitures of its non-core U.S. commercial marketing and Canadian mobile and SMS messaging aggregator businesses. As a result of these divestitures, the Company incurred and paid retention and severance benefits of $1.9 million for the year ended December 31, 2023, which was primarily recorded within direct costs.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a result of these wind-down and divestitures, the Company also recorded $3.0 million related to right-of-use operating leases, accrued $2.4 million for other facility-related exit cost, and recorded impairment of $0.9 million related to a customer-related intangible from a prior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INFORMATION AND GEOGRAPHIC DATA</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a broad array of professional services to its clients across several markets, primarily within the U.S. The Company operates as a single reportable and operating segment because the Chief Operating Decision Maker (the “CODM”), which is the Chief Executive Officer, manages the business activities on a consolidated basis. Although the Company disaggregates its revenue by client market and client type, it does not manage its business or allocate resources based on client market or type.</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CODM assesses performance of the segment based on consolidated net income that is reported on the Company’s consolidated statements of comprehensive income. The CODM uses consolidated net income to evaluate the Company’s performance against budgets and decide whether to use the profits to invest in the business, paydown debt, repurchase stock, pay dividends, or fund acquisitions. Asset information provided to the CODM is not used for the purpose of making decisions and assessing performance of the Company.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segment revenue, significant segment expenses, and segment profit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1,872,851</w:t>
            </w:r>
          </w:p>
        </w:tc>
        <w:tc>
          <w:tcPr>
            <w:tcW w:w="7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2,019,787</w:t>
            </w: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1,963,238</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Direct labor &amp; related fringe benefit costs</w:t>
            </w: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722,849</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775,239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730,322</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Subcontractors &amp; other direct costs</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453,986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534,696</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Indirect and selling expenses</w:t>
            </w: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492,404</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518,453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505,162</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tcPr>
          <w:p>
            <w:pPr>
              <w:spacing w:after="0"/>
              <w:rPr>
                <w:sz w:val="18"/>
                <w:szCs w:val="18"/>
                <w:color w:val="auto"/>
              </w:rPr>
            </w:pPr>
          </w:p>
        </w:tc>
      </w:tr>
      <w:tr>
        <w:trPr>
          <w:trHeight w:val="198"/>
        </w:trPr>
        <w:tc>
          <w:tcPr>
            <w:tcW w:w="44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acquired in business</w:t>
            </w:r>
          </w:p>
        </w:tc>
        <w:tc>
          <w:tcPr>
            <w:tcW w:w="5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combinations</w:t>
            </w:r>
          </w:p>
        </w:tc>
        <w:tc>
          <w:tcPr>
            <w:tcW w:w="5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35,461</w:t>
            </w:r>
          </w:p>
        </w:tc>
        <w:tc>
          <w:tcPr>
            <w:tcW w:w="100" w:type="dxa"/>
            <w:vAlign w:val="bottom"/>
            <w:shd w:val="clear" w:color="auto" w:fill="CFF0FC"/>
          </w:tcPr>
          <w:p>
            <w:pPr>
              <w:spacing w:after="0"/>
              <w:rPr>
                <w:sz w:val="20"/>
                <w:szCs w:val="20"/>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100" w:type="dxa"/>
            <w:vAlign w:val="bottom"/>
          </w:tcPr>
          <w:p>
            <w:pPr>
              <w:spacing w:after="0"/>
              <w:rPr>
                <w:sz w:val="18"/>
                <w:szCs w:val="18"/>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0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Other segment expense (income) </w:t>
            </w:r>
            <w:r>
              <w:rPr>
                <w:rFonts w:ascii="Times New Roman" w:cs="Times New Roman" w:eastAsia="Times New Roman" w:hAnsi="Times New Roman"/>
                <w:sz w:val="24"/>
                <w:szCs w:val="24"/>
                <w:b w:val="1"/>
                <w:bCs w:val="1"/>
                <w:color w:val="auto"/>
                <w:vertAlign w:val="superscript"/>
              </w:rPr>
              <w:t>(1)</w:t>
            </w: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(4,179)</w:t>
            </w:r>
          </w:p>
        </w:tc>
      </w:tr>
      <w:tr>
        <w:trPr>
          <w:trHeight w:val="25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91,588</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5460" w:right="740" w:hanging="5452"/>
        <w:spacing w:after="0" w:line="452" w:lineRule="auto"/>
        <w:tabs>
          <w:tab w:leader="none" w:pos="199"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expense (income) primarily includes interest income, gains/losses on foreign currency, and gains/losses on disposition of assets.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Other Segment Information and Geographic Data</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Revenue is attributed to the country where the contract is awarded by the client. There was no single foreign country that individually accounted for 10% or more of total revenue for the years ended December 31, 2025, 2024, and 2023. The following table provides net revenue for the Company’s home country and foreign countries: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8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1,713,828</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1,869,105</w:t>
            </w:r>
          </w:p>
        </w:tc>
        <w:tc>
          <w:tcPr>
            <w:tcW w:w="2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1,832,562</w:t>
            </w:r>
          </w:p>
        </w:tc>
        <w:tc>
          <w:tcPr>
            <w:tcW w:w="100" w:type="dxa"/>
            <w:vAlign w:val="bottom"/>
          </w:tcPr>
          <w:p>
            <w:pPr>
              <w:spacing w:after="0"/>
              <w:rPr>
                <w:sz w:val="18"/>
                <w:szCs w:val="18"/>
                <w:color w:val="auto"/>
              </w:rPr>
            </w:pPr>
          </w:p>
        </w:tc>
      </w:tr>
      <w:tr>
        <w:trPr>
          <w:trHeight w:val="216"/>
        </w:trPr>
        <w:tc>
          <w:tcPr>
            <w:tcW w:w="49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countries</w:t>
            </w:r>
          </w:p>
        </w:tc>
        <w:tc>
          <w:tcPr>
            <w:tcW w:w="1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159,023</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150,682</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1,872,851</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2,019,787</w:t>
            </w:r>
          </w:p>
        </w:tc>
        <w:tc>
          <w:tcPr>
            <w:tcW w:w="2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1,963,238</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-170815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and 2024, tangible long-lived assets were primarily held in the U.S. There was no single foreign country that, individually, held more than 10% of the total long-lived assets. The following table provides tangible long-lived assets held in the Company’s home country and in foreign countries: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5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4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55,670</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countries</w:t>
            </w:r>
          </w:p>
        </w:tc>
        <w:tc>
          <w:tcPr>
            <w:tcW w:w="15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4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15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58,357</w:t>
            </w: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December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Client advances and restricted funds</w:t>
            </w:r>
          </w:p>
        </w:tc>
        <w:tc>
          <w:tcPr>
            <w:tcW w:w="324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47,245</w:t>
            </w:r>
          </w:p>
        </w:tc>
        <w:tc>
          <w:tcPr>
            <w:tcW w:w="7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32,350</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collected not yet remitted to purchaser of billed receivables</w:t>
            </w: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31,252</w:t>
            </w: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9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80" w:type="dxa"/>
            <w:vAlign w:val="bottom"/>
          </w:tcPr>
          <w:p>
            <w:pPr>
              <w:spacing w:after="0"/>
              <w:rPr>
                <w:sz w:val="18"/>
                <w:szCs w:val="18"/>
                <w:color w:val="auto"/>
              </w:rPr>
            </w:pP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71,340</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86,701</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0"/>
        </w:trPr>
        <w:tc>
          <w:tcPr>
            <w:tcW w:w="5060" w:type="dxa"/>
            <w:vAlign w:val="bottom"/>
          </w:tcPr>
          <w:p>
            <w:pPr>
              <w:spacing w:after="0"/>
              <w:rPr>
                <w:sz w:val="24"/>
                <w:szCs w:val="24"/>
                <w:color w:val="auto"/>
              </w:rPr>
            </w:pPr>
          </w:p>
        </w:tc>
        <w:tc>
          <w:tcPr>
            <w:tcW w:w="3240" w:type="dxa"/>
            <w:vAlign w:val="bottom"/>
            <w:gridSpan w:val="2"/>
          </w:tcPr>
          <w:p>
            <w:pPr>
              <w:jc w:val="right"/>
              <w:ind w:right="2410"/>
              <w:spacing w:after="0"/>
              <w:rPr>
                <w:sz w:val="20"/>
                <w:szCs w:val="20"/>
                <w:color w:val="auto"/>
              </w:rPr>
            </w:pPr>
            <w:r>
              <w:rPr>
                <w:rFonts w:ascii="Times New Roman" w:cs="Times New Roman" w:eastAsia="Times New Roman" w:hAnsi="Times New Roman"/>
                <w:sz w:val="18"/>
                <w:szCs w:val="18"/>
                <w:color w:val="auto"/>
              </w:rPr>
              <w:t>F-34</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-1156335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costs and</w:t>
            </w:r>
          </w:p>
        </w:tc>
        <w:tc>
          <w:tcPr>
            <w:tcW w:w="14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Charged to</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Balance at end</w:t>
            </w:r>
          </w:p>
        </w:tc>
      </w:tr>
      <w:tr>
        <w:trPr>
          <w:trHeight w:val="238"/>
        </w:trPr>
        <w:tc>
          <w:tcPr>
            <w:tcW w:w="34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20"/>
                <w:szCs w:val="20"/>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other accounts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2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period</w:t>
            </w:r>
          </w:p>
        </w:tc>
      </w:tr>
      <w:tr>
        <w:trPr>
          <w:trHeight w:val="209"/>
        </w:trPr>
        <w:tc>
          <w:tcPr>
            <w:tcW w:w="3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Allowances for expected credit losses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shd w:val="clear" w:color="auto" w:fill="CCEEFF"/>
          </w:tcPr>
          <w:p>
            <w:pPr>
              <w:spacing w:after="0"/>
              <w:rPr>
                <w:sz w:val="21"/>
                <w:szCs w:val="21"/>
                <w:color w:val="auto"/>
              </w:rPr>
            </w:pPr>
          </w:p>
        </w:tc>
      </w:tr>
      <w:tr>
        <w:trPr>
          <w:trHeight w:val="197"/>
        </w:trPr>
        <w:tc>
          <w:tcPr>
            <w:tcW w:w="344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Allowances for expected credit losses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tcPr>
          <w:p>
            <w:pPr>
              <w:spacing w:after="0"/>
              <w:rPr>
                <w:sz w:val="18"/>
                <w:szCs w:val="18"/>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shd w:val="clear" w:color="auto" w:fill="CCEEFF"/>
          </w:tcPr>
          <w:p>
            <w:pPr>
              <w:spacing w:after="0"/>
              <w:rPr>
                <w:sz w:val="18"/>
                <w:szCs w:val="18"/>
                <w:color w:val="auto"/>
              </w:rPr>
            </w:pPr>
          </w:p>
        </w:tc>
      </w:tr>
      <w:tr>
        <w:trPr>
          <w:trHeight w:val="20"/>
        </w:trPr>
        <w:tc>
          <w:tcPr>
            <w:tcW w:w="3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20" w:type="dxa"/>
            <w:vAlign w:val="bottom"/>
          </w:tcPr>
          <w:p>
            <w:pPr>
              <w:spacing w:after="0"/>
              <w:rPr>
                <w:sz w:val="18"/>
                <w:szCs w:val="18"/>
                <w:color w:val="auto"/>
              </w:rPr>
            </w:pPr>
          </w:p>
        </w:tc>
        <w:tc>
          <w:tcPr>
            <w:tcW w:w="9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Allowances for expected credit losses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w:t>
            </w:r>
          </w:p>
        </w:tc>
        <w:tc>
          <w:tcPr>
            <w:tcW w:w="100" w:type="dxa"/>
            <w:vAlign w:val="bottom"/>
            <w:shd w:val="clear" w:color="auto" w:fill="CCEEFF"/>
          </w:tcPr>
          <w:p>
            <w:pPr>
              <w:spacing w:after="0"/>
              <w:rPr>
                <w:sz w:val="21"/>
                <w:szCs w:val="21"/>
                <w:color w:val="auto"/>
              </w:rPr>
            </w:pPr>
          </w:p>
        </w:tc>
      </w:tr>
      <w:tr>
        <w:trPr>
          <w:trHeight w:val="629"/>
        </w:trPr>
        <w:tc>
          <w:tcPr>
            <w:tcW w:w="34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F-35</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-2373630</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-2357120</wp:posOffset>
            </wp:positionV>
            <wp:extent cx="7747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-2373630</wp:posOffset>
            </wp:positionV>
            <wp:extent cx="768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-2357120</wp:posOffset>
            </wp:positionV>
            <wp:extent cx="768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-2373630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-2357120</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-2373630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-2357120</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-2357120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-1799590</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-1799590</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-1799590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-1799590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-934085</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-916305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-934085</wp:posOffset>
            </wp:positionV>
            <wp:extent cx="768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-916305</wp:posOffset>
            </wp:positionV>
            <wp:extent cx="768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-934085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-916305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-934085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Exhibit 21.0</w:t>
            </w:r>
          </w:p>
        </w:tc>
        <w:tc>
          <w:tcPr>
            <w:tcW w:w="0" w:type="dxa"/>
            <w:vAlign w:val="bottom"/>
          </w:tcPr>
          <w:p>
            <w:pPr>
              <w:spacing w:after="0"/>
              <w:rPr>
                <w:sz w:val="1"/>
                <w:szCs w:val="1"/>
                <w:color w:val="auto"/>
              </w:rPr>
            </w:pPr>
          </w:p>
        </w:tc>
      </w:tr>
      <w:tr>
        <w:trPr>
          <w:trHeight w:val="309"/>
        </w:trPr>
        <w:tc>
          <w:tcPr>
            <w:tcW w:w="8900" w:type="dxa"/>
            <w:vAlign w:val="bottom"/>
          </w:tcPr>
          <w:p>
            <w:pPr>
              <w:ind w:left="5000"/>
              <w:spacing w:after="0"/>
              <w:rPr>
                <w:sz w:val="20"/>
                <w:szCs w:val="20"/>
                <w:color w:val="auto"/>
              </w:rPr>
            </w:pPr>
            <w:r>
              <w:rPr>
                <w:rFonts w:ascii="Times New Roman" w:cs="Times New Roman" w:eastAsia="Times New Roman" w:hAnsi="Times New Roman"/>
                <w:sz w:val="14"/>
                <w:szCs w:val="14"/>
                <w:b w:val="1"/>
                <w:bCs w:val="1"/>
                <w:color w:val="auto"/>
              </w:rPr>
              <w:t>SUBSIDIARIES OF</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90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ICF INTERNATIONAL, INC.</w:t>
            </w: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0" w:type="dxa"/>
            <w:vAlign w:val="bottom"/>
          </w:tcPr>
          <w:p>
            <w:pPr>
              <w:spacing w:after="0"/>
              <w:rPr>
                <w:sz w:val="1"/>
                <w:szCs w:val="1"/>
                <w:color w:val="auto"/>
              </w:rPr>
            </w:pPr>
          </w:p>
        </w:tc>
      </w:tr>
      <w:tr>
        <w:trPr>
          <w:trHeight w:val="148"/>
        </w:trPr>
        <w:tc>
          <w:tcPr>
            <w:tcW w:w="8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173"/>
        </w:trPr>
        <w:tc>
          <w:tcPr>
            <w:tcW w:w="8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46"/>
        </w:trPr>
        <w:tc>
          <w:tcPr>
            <w:tcW w:w="8900" w:type="dxa"/>
            <w:vAlign w:val="bottom"/>
            <w:tcBorders>
              <w:top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ICF Consulting Group, Inc.</w:t>
            </w:r>
          </w:p>
        </w:tc>
        <w:tc>
          <w:tcPr>
            <w:tcW w:w="10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Delaware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Consulting Canada, Inc.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Canada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Emergency Management Services, L.L.C.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Incorporated, L.L.C.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(Delaware), L.L.C. in Arizona)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Consulting, L.L.C. in California)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Incorporated, L.L.C., a Delaware limited liability company in Colorado)</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Systems, L.L.C. in Idaho)</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Illinois)</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Group, L.L.C. in Kentucky)</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Incorporated, L.L.C. of Louisiana in Louisiana)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in Massachusetts)</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Michigan)</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Minnesota, L.L.C. in Minnesota)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Consulting, LLC in Mississippi)</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(Delaware), L.L.C. in Missouri)</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Nebraska, LLC in Nebraska)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New Mexico, L.L.C in New Mexico)</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Delaware in New York)</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North Dakota)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Ohio, L.L.C. in Ohio)</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PA, L.L.C. in Pennsylvania)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Texas)</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Virginia)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Washington)</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L.L.C. in West Virginia)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DE, L.L.C. in Wyoming)</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Incorporated, LLC in Puerto Rico)</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(d/b/a ICF Incorporated, LLC in US Virgin Islands)</w:t>
            </w:r>
          </w:p>
        </w:tc>
        <w:tc>
          <w:tcPr>
            <w:tcW w:w="100" w:type="dxa"/>
            <w:vAlign w:val="bottom"/>
          </w:tcPr>
          <w:p>
            <w:pPr>
              <w:spacing w:after="0"/>
              <w:rPr>
                <w:sz w:val="12"/>
                <w:szCs w:val="12"/>
                <w:color w:val="auto"/>
              </w:rPr>
            </w:pPr>
          </w:p>
        </w:tc>
        <w:tc>
          <w:tcPr>
            <w:tcW w:w="22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Resources, L.L.C.</w:t>
            </w:r>
          </w:p>
        </w:tc>
        <w:tc>
          <w:tcPr>
            <w:tcW w:w="10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Consulting India Private, Limited.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India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Consulting Limited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U.K.</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SH&amp;E, Inc.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SH&amp;E Limited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U.K.</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Environmental, Inc (f/k/a ICF Jones &amp; Stokes, Inc.)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International Consulting (Beijing) Company, Ltd.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China</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Macro, Inc.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Macro, Inc. in Kenya)</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Kenya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Macro Inc. in Liberia)</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8"/>
              </w:rPr>
              <w:t>Liberia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Macro Inc. in Madagascar)</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Madagascar</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GHK Holdings Limited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U.K.</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Consulting Services, Limited. (f/k/a GHK Consulting Limited.)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U.K.</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Consulting Services Limited, Nepal Branch)</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Nepal</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Consulting Services, India Private, Ltd. (f/k/a GHK Development Consultants India Private, Limited.)</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India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Next, Inc. (f/k/a Olson + Co., Inc.)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Minnesota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Olson in California)</w:t>
            </w: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Next North America, ALB ULC (f/k/a Olson Canada, Inc.)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Alberta, Canada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SA (f/k/a/ Full Angle Communications, SA)</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Belgium</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Next, SA (f/k/a Mostra, SA)</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Belgium</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Africa, SARL</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Mali</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Africa SARL in Democratic Republic of the Congo)</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7"/>
              </w:rPr>
              <w:t>DRC</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(d/b/a ICF Africa SARL in Cameroon)</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Cameroon</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Incentive Technology Group, LLC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Virginia</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ESAC, LLC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Maryland</w:t>
            </w:r>
          </w:p>
        </w:tc>
        <w:tc>
          <w:tcPr>
            <w:tcW w:w="0" w:type="dxa"/>
            <w:vAlign w:val="bottom"/>
          </w:tcPr>
          <w:p>
            <w:pPr>
              <w:spacing w:after="0"/>
              <w:rPr>
                <w:sz w:val="1"/>
                <w:szCs w:val="1"/>
                <w:color w:val="auto"/>
              </w:rPr>
            </w:pPr>
          </w:p>
        </w:tc>
      </w:tr>
      <w:tr>
        <w:trPr>
          <w:trHeight w:val="176"/>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Creative Systems and Consulting, LLC</w:t>
            </w:r>
          </w:p>
        </w:tc>
        <w:tc>
          <w:tcPr>
            <w:tcW w:w="100" w:type="dxa"/>
            <w:vAlign w:val="bottom"/>
          </w:tcPr>
          <w:p>
            <w:pPr>
              <w:spacing w:after="0"/>
              <w:rPr>
                <w:sz w:val="15"/>
                <w:szCs w:val="15"/>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Virginia</w:t>
            </w:r>
          </w:p>
        </w:tc>
        <w:tc>
          <w:tcPr>
            <w:tcW w:w="0" w:type="dxa"/>
            <w:vAlign w:val="bottom"/>
          </w:tcPr>
          <w:p>
            <w:pPr>
              <w:spacing w:after="0"/>
              <w:rPr>
                <w:sz w:val="1"/>
                <w:szCs w:val="1"/>
                <w:color w:val="auto"/>
              </w:rPr>
            </w:pPr>
          </w:p>
        </w:tc>
      </w:tr>
      <w:tr>
        <w:trPr>
          <w:trHeight w:val="148"/>
        </w:trPr>
        <w:tc>
          <w:tcPr>
            <w:tcW w:w="8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SemanticBits, LLC</w:t>
            </w:r>
          </w:p>
        </w:tc>
        <w:tc>
          <w:tcPr>
            <w:tcW w:w="10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Virginia</w:t>
            </w:r>
          </w:p>
        </w:tc>
        <w:tc>
          <w:tcPr>
            <w:tcW w:w="0" w:type="dxa"/>
            <w:vAlign w:val="bottom"/>
          </w:tcPr>
          <w:p>
            <w:pPr>
              <w:spacing w:after="0"/>
              <w:rPr>
                <w:sz w:val="1"/>
                <w:szCs w:val="1"/>
                <w:color w:val="auto"/>
              </w:rPr>
            </w:pPr>
          </w:p>
        </w:tc>
      </w:tr>
      <w:tr>
        <w:trPr>
          <w:trHeight w:val="149"/>
        </w:trPr>
        <w:tc>
          <w:tcPr>
            <w:tcW w:w="8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Blanton &amp; Associates, Inc.</w:t>
            </w:r>
          </w:p>
        </w:tc>
        <w:tc>
          <w:tcPr>
            <w:tcW w:w="10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Texas</w:t>
            </w:r>
          </w:p>
        </w:tc>
        <w:tc>
          <w:tcPr>
            <w:tcW w:w="0" w:type="dxa"/>
            <w:vAlign w:val="bottom"/>
          </w:tcPr>
          <w:p>
            <w:pPr>
              <w:spacing w:after="0"/>
              <w:rPr>
                <w:sz w:val="1"/>
                <w:szCs w:val="1"/>
                <w:color w:val="auto"/>
              </w:rPr>
            </w:pPr>
          </w:p>
        </w:tc>
      </w:tr>
      <w:tr>
        <w:trPr>
          <w:trHeight w:val="148"/>
        </w:trPr>
        <w:tc>
          <w:tcPr>
            <w:tcW w:w="8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ICF Consulting Services, S.L.</w:t>
            </w:r>
          </w:p>
        </w:tc>
        <w:tc>
          <w:tcPr>
            <w:tcW w:w="10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Spain</w:t>
            </w:r>
          </w:p>
        </w:tc>
        <w:tc>
          <w:tcPr>
            <w:tcW w:w="0" w:type="dxa"/>
            <w:vAlign w:val="bottom"/>
          </w:tcPr>
          <w:p>
            <w:pPr>
              <w:spacing w:after="0"/>
              <w:rPr>
                <w:sz w:val="1"/>
                <w:szCs w:val="1"/>
                <w:color w:val="auto"/>
              </w:rPr>
            </w:pPr>
          </w:p>
        </w:tc>
      </w:tr>
      <w:tr>
        <w:trPr>
          <w:trHeight w:val="149"/>
        </w:trPr>
        <w:tc>
          <w:tcPr>
            <w:tcW w:w="8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CMY Solutions, LLC</w:t>
            </w:r>
          </w:p>
        </w:tc>
        <w:tc>
          <w:tcPr>
            <w:tcW w:w="10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49"/>
        </w:trPr>
        <w:tc>
          <w:tcPr>
            <w:tcW w:w="8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Applied Energy Group, Inc.</w:t>
            </w:r>
          </w:p>
        </w:tc>
        <w:tc>
          <w:tcPr>
            <w:tcW w:w="10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8"/>
        </w:trPr>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ICF Consulting Services GmBH</w:t>
            </w:r>
          </w:p>
        </w:tc>
        <w:tc>
          <w:tcPr>
            <w:tcW w:w="100" w:type="dxa"/>
            <w:vAlign w:val="bottom"/>
          </w:tcPr>
          <w:p>
            <w:pPr>
              <w:spacing w:after="0"/>
              <w:rPr>
                <w:sz w:val="16"/>
                <w:szCs w:val="16"/>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Germany</w:t>
            </w:r>
          </w:p>
        </w:tc>
        <w:tc>
          <w:tcPr>
            <w:tcW w:w="0" w:type="dxa"/>
            <w:vAlign w:val="bottom"/>
          </w:tcPr>
          <w:p>
            <w:pPr>
              <w:spacing w:after="0"/>
              <w:rPr>
                <w:sz w:val="1"/>
                <w:szCs w:val="1"/>
                <w:color w:val="auto"/>
              </w:rPr>
            </w:pPr>
          </w:p>
        </w:tc>
      </w:tr>
      <w:tr>
        <w:trPr>
          <w:trHeight w:val="1043"/>
        </w:trPr>
        <w:tc>
          <w:tcPr>
            <w:tcW w:w="8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have issued our reports dated February 27, 2026, with respect to the consolidated financial statements and internal control over financial reporting included in the Annual Report of ICF International, Inc. on Form 10-K for the year ended December 31, 2025. We consent to the incorporation by reference of said reports in the Registration Statements of ICF International, Inc. on Form S-3 (File No. 333-161896) and on Forms S-8 (File No. 333-272833, File No. 333-239428, File No. 333-225786, File No. 333-206048, File No. 333-190334, File No. 333-168608, File No. 333-165474, File No. 333-159053, File No. 333-150932, File No. 333-142265, and File No. 333-137975).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Arlington, Virginia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Wasson, certify that:</w:t>
      </w:r>
    </w:p>
    <w:p>
      <w:pPr>
        <w:spacing w:after="0" w:line="117"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ICF International, Inc. (the “Registrant”);</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20" w:hanging="479"/>
        <w:spacing w:after="0" w:line="266"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3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8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27th day of February, 2026.</w:t>
      </w:r>
    </w:p>
    <w:p>
      <w:pPr>
        <w:spacing w:after="0" w:line="225" w:lineRule="exact"/>
        <w:rPr>
          <w:sz w:val="20"/>
          <w:szCs w:val="20"/>
          <w:color w:val="auto"/>
        </w:rPr>
      </w:pPr>
    </w:p>
    <w:p>
      <w:pPr>
        <w:ind w:left="60"/>
        <w:spacing w:after="0"/>
        <w:tabs>
          <w:tab w:leader="none" w:pos="1660" w:val="left"/>
          <w:tab w:leader="none" w:pos="2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5374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7"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b w:val="1"/>
          <w:bCs w:val="1"/>
          <w:color w:val="auto"/>
        </w:rPr>
        <w:t>John Wasson</w:t>
      </w:r>
    </w:p>
    <w:p>
      <w:pPr>
        <w:spacing w:after="0" w:line="23"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b w:val="1"/>
          <w:bCs w:val="1"/>
          <w:color w:val="auto"/>
        </w:rPr>
        <w:t>Chair and Chief Executive Officer</w:t>
      </w:r>
    </w:p>
    <w:p>
      <w:pPr>
        <w:spacing w:after="0" w:line="9"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Barry Broadus, certify that:</w:t>
      </w:r>
    </w:p>
    <w:p>
      <w:pPr>
        <w:spacing w:after="0" w:line="117"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ICF International, Inc. (the “Registrant”);</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20" w:hanging="479"/>
        <w:spacing w:after="0" w:line="266" w:lineRule="auto"/>
        <w:tabs>
          <w:tab w:leader="none" w:pos="8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20" w:hanging="479"/>
        <w:spacing w:after="0" w:line="266" w:lineRule="auto"/>
        <w:tabs>
          <w:tab w:leader="none" w:pos="8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3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8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27th day of February, 2026.</w:t>
      </w:r>
    </w:p>
    <w:p>
      <w:pPr>
        <w:spacing w:after="0" w:line="225" w:lineRule="exact"/>
        <w:rPr>
          <w:sz w:val="20"/>
          <w:szCs w:val="20"/>
          <w:color w:val="auto"/>
        </w:rPr>
      </w:pPr>
    </w:p>
    <w:p>
      <w:pPr>
        <w:ind w:left="60"/>
        <w:spacing w:after="0"/>
        <w:tabs>
          <w:tab w:leader="none" w:pos="1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BARRY BROADUS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5374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7"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b w:val="1"/>
          <w:bCs w:val="1"/>
          <w:color w:val="auto"/>
        </w:rPr>
        <w:t>Barry Broadus</w:t>
      </w:r>
    </w:p>
    <w:p>
      <w:pPr>
        <w:spacing w:after="0" w:line="23"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right="62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180"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2025 (the “Report”) of ICF International, Inc. (the “Registrant”), as filed with the Securities and Exchange Commission on the date hereof, I, John Wasson, Chair and Chief Executive Officer of the Registrant, hereby certify that:</w:t>
      </w:r>
    </w:p>
    <w:p>
      <w:pPr>
        <w:spacing w:after="0" w:line="135" w:lineRule="exact"/>
        <w:rPr>
          <w:sz w:val="20"/>
          <w:szCs w:val="20"/>
          <w:color w:val="auto"/>
        </w:rPr>
      </w:pPr>
    </w:p>
    <w:p>
      <w:pPr>
        <w:ind w:left="1380" w:hanging="353"/>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540" w:right="180" w:hanging="513"/>
        <w:spacing w:after="0" w:line="282" w:lineRule="auto"/>
        <w:tabs>
          <w:tab w:leader="none" w:pos="13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tabs>
          <w:tab w:leader="none" w:pos="6900" w:val="left"/>
          <w:tab w:leader="none" w:pos="8440" w:val="left"/>
          <w:tab w:leader="none" w:pos="880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JOHN WASSON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John Wasson</w:t>
      </w:r>
    </w:p>
    <w:p>
      <w:pPr>
        <w:spacing w:after="0" w:line="2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Chair and Chief Executive Officer</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2025 (the “Report”) of ICF International, Inc. (the “Registrant”), as filed with the Securities and Exchange Commission on the date hereof, I, Barry Broadus, Chief Financial Officer of the Registrant, hereby certify that:</w:t>
      </w:r>
    </w:p>
    <w:p>
      <w:pPr>
        <w:spacing w:after="0" w:line="135" w:lineRule="exact"/>
        <w:rPr>
          <w:sz w:val="20"/>
          <w:szCs w:val="20"/>
          <w:color w:val="auto"/>
        </w:rPr>
      </w:pPr>
    </w:p>
    <w:p>
      <w:pPr>
        <w:ind w:left="1380" w:hanging="353"/>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540" w:right="180" w:hanging="513"/>
        <w:spacing w:after="0" w:line="282" w:lineRule="auto"/>
        <w:tabs>
          <w:tab w:leader="none" w:pos="13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2" w:lineRule="exact"/>
        <w:rPr>
          <w:sz w:val="20"/>
          <w:szCs w:val="20"/>
          <w:color w:val="auto"/>
        </w:rPr>
      </w:pPr>
    </w:p>
    <w:p>
      <w:pPr>
        <w:spacing w:after="0"/>
        <w:tabs>
          <w:tab w:leader="none" w:pos="6900" w:val="left"/>
          <w:tab w:leader="none" w:pos="8320" w:val="left"/>
          <w:tab w:leader="none" w:pos="866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BARRY BROADUS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Barry Broadus</w:t>
      </w:r>
    </w:p>
    <w:p>
      <w:pPr>
        <w:spacing w:after="0" w:line="2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2"/>
    </w:lvl>
  </w:abstractNum>
  <w:abstractNum w:abstractNumId="25">
    <w:nsid w:val="614FD4A1"/>
    <w:multiLevelType w:val="hybridMultilevel"/>
    <w:lvl w:ilvl="0">
      <w:lvlJc w:val="left"/>
      <w:lvlText w:val="(%1)"/>
      <w:numFmt w:val="decimal"/>
      <w:start w:val="3"/>
    </w:lvl>
  </w:abstractNum>
  <w:abstractNum w:abstractNumId="26">
    <w:nsid w:val="419AC241"/>
    <w:multiLevelType w:val="hybridMultilevel"/>
    <w:lvl w:ilvl="0">
      <w:lvlJc w:val="left"/>
      <w:lvlText w:val="%1"/>
      <w:numFmt w:val="decimal"/>
      <w:start w:val="101"/>
    </w:lvl>
  </w:abstractNum>
  <w:abstractNum w:abstractNumId="27">
    <w:nsid w:val="5577F8E1"/>
    <w:multiLevelType w:val="hybridMultilevel"/>
    <w:lvl w:ilvl="0">
      <w:lvlJc w:val="left"/>
      <w:lvlText w:val="*"/>
      <w:numFmt w:val="bullet"/>
      <w:start w:val="1"/>
    </w:lvl>
    <w:lvl w:ilvl="1">
      <w:lvlJc w:val="left"/>
      <w:lvlText w:val="%2"/>
      <w:numFmt w:val="decimal"/>
      <w:start w:val="104"/>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7"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149" Type="http://schemas.openxmlformats.org/officeDocument/2006/relationships/hyperlink" Target="https://www.sec.gov/Archives/edgar/data/1362004/000143774917013604/ex3-1.htm" TargetMode="External"/><Relationship Id="rId150" Type="http://schemas.openxmlformats.org/officeDocument/2006/relationships/hyperlink" Target="https://www.sec.gov/Archives/edgar/data/1362004/000143774923026786/ex_573348.htm" TargetMode="External"/><Relationship Id="rId151" Type="http://schemas.openxmlformats.org/officeDocument/2006/relationships/hyperlink" Target="https://www.sec.gov/Archives/edgar/data/1362004/000119312506189202/dex41.htm" TargetMode="External"/><Relationship Id="rId152" Type="http://schemas.openxmlformats.org/officeDocument/2006/relationships/hyperlink" Target="https://www.sec.gov/Archives/edgar/data/1362004/000143774917010547/ex3-1.htm" TargetMode="External"/><Relationship Id="rId153" Type="http://schemas.openxmlformats.org/officeDocument/2006/relationships/hyperlink" Target="https://www.sec.gov/Archives/edgar/data/1362004/000156459022006889/icfi-ex43_7.htm" TargetMode="External"/><Relationship Id="rId154" Type="http://schemas.openxmlformats.org/officeDocument/2006/relationships/hyperlink" Target="https://www.sec.gov/Archives/edgar/data/1362004/000119312506109194/dex103.htm" TargetMode="External"/><Relationship Id="rId155" Type="http://schemas.openxmlformats.org/officeDocument/2006/relationships/hyperlink" Target="https://www.sec.gov/Archives/edgar/data/1362004/000119312513085861/d443791dex102.htm" TargetMode="External"/><Relationship Id="rId156" Type="http://schemas.openxmlformats.org/officeDocument/2006/relationships/hyperlink" Target="https://www.sec.gov/ix?doc=/Archives/edgar/data/1362004/000119312523110494/d473375ddef14a.htm" TargetMode="External"/><Relationship Id="rId157" Type="http://schemas.openxmlformats.org/officeDocument/2006/relationships/hyperlink" Target="https://www.sec.gov/Archives/edgar/data/1362004/000143774924007621/ex_638795.htm" TargetMode="External"/><Relationship Id="rId158" Type="http://schemas.openxmlformats.org/officeDocument/2006/relationships/hyperlink" Target="https://www.sec.gov/Archives/edgar/data/1362004/000143774918012506/ex_117026.htm" TargetMode="External"/><Relationship Id="rId159" Type="http://schemas.openxmlformats.org/officeDocument/2006/relationships/hyperlink" Target="https://www.sec.gov/Archives/edgar/data/1362004/000143774918011081/ex_115787.htm" TargetMode="External"/><Relationship Id="rId162" Type="http://schemas.openxmlformats.org/officeDocument/2006/relationships/hyperlink" Target="https://www.sec.gov/Archives/edgar/data/1362004/000143774924007621/ex_638797.htm" TargetMode="External"/><Relationship Id="rId165" Type="http://schemas.openxmlformats.org/officeDocument/2006/relationships/hyperlink" Target="https://www.sec.gov/Archives/edgar/data/1362004/000143774924007621/ex_638796.htm" TargetMode="External"/><Relationship Id="rId168" Type="http://schemas.openxmlformats.org/officeDocument/2006/relationships/hyperlink" Target="https://www.sec.gov/Archives/edgar/data/1362004/000143774918011081/ex_115784.htm" TargetMode="External"/><Relationship Id="rId171" Type="http://schemas.openxmlformats.org/officeDocument/2006/relationships/hyperlink" Target="https://www.sec.gov/Archives/edgar/data/1362004/000143774919019354/ex_159220.htm" TargetMode="External"/><Relationship Id="rId174" Type="http://schemas.openxmlformats.org/officeDocument/2006/relationships/hyperlink" Target="https://www.sec.gov/Archives/edgar/data/1362004/000119312508255935/dex104.htm" TargetMode="External"/><Relationship Id="rId177" Type="http://schemas.openxmlformats.org/officeDocument/2006/relationships/hyperlink" Target="https://www.sec.gov/Archives/edgar/data/1362004/000119312512336157/d351917dex101.htm" TargetMode="External"/><Relationship Id="rId180" Type="http://schemas.openxmlformats.org/officeDocument/2006/relationships/hyperlink" Target="https://www.sec.gov/Archives/edgar/data/1362004/000119312512336157/d351917dex102.htm" TargetMode="External"/><Relationship Id="rId183" Type="http://schemas.openxmlformats.org/officeDocument/2006/relationships/hyperlink" Target="https://www.sec.gov/Archives/edgar/data/1362004/000143774916027070/ex10-18.htm" TargetMode="External"/><Relationship Id="rId186" Type="http://schemas.openxmlformats.org/officeDocument/2006/relationships/hyperlink" Target="https://www.sec.gov/Archives/edgar/data/1362004/000143774922011728/ex_372761.htm" TargetMode="External"/><Relationship Id="rId189" Type="http://schemas.openxmlformats.org/officeDocument/2006/relationships/hyperlink" Target="https://www.sec.gov/Archives/edgar/data/1362004/000143774923015293/ex_523540.htm" TargetMode="External"/><Relationship Id="rId192" Type="http://schemas.openxmlformats.org/officeDocument/2006/relationships/hyperlink" Target="https://www.sec.gov/Archives/edgar/data/1362004/000095017024021617/icfi-ex10_17.htm" TargetMode="External"/><Relationship Id="rId195" Type="http://schemas.openxmlformats.org/officeDocument/2006/relationships/hyperlink" Target="https://www.sec.gov/Archives/edgar/data/1362004/000143774919020930/ex_161891.htm" TargetMode="External"/><Relationship Id="rId198" Type="http://schemas.openxmlformats.org/officeDocument/2006/relationships/hyperlink" Target="https://www.sec.gov/Archives/edgar/data/1362004/000095017025029917/icfi-ex19_0.htm" TargetMode="External"/><Relationship Id="rId206" Type="http://schemas.openxmlformats.org/officeDocument/2006/relationships/hyperlink" Target="https://www.sec.gov/Archives/edgar/data/1362004/000095017024021617/icfi-ex97_0.htm" TargetMode="External"/><Relationship Id="rId208" Type="http://schemas.openxmlformats.org/officeDocument/2006/relationships/hyperlink" Target="https://www.sec.gov/Archives/edgar/data/1362004/000143774921028892/ex_3176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2026-02-27T15:56:08Z</dcterms:created>
  <dcterms:modified xsi:type="dcterms:W3CDTF">2026-02-27T15:56:08Z</dcterms:modified>
</cp:coreProperties>
</file>