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157480</wp:posOffset>
            </wp:positionV>
            <wp:extent cx="7132320" cy="342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277495</wp:posOffset>
            </wp:positionV>
            <wp:extent cx="71323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2954020</wp:posOffset>
            </wp:positionH>
            <wp:positionV relativeFrom="paragraph">
              <wp:posOffset>184150</wp:posOffset>
            </wp:positionV>
            <wp:extent cx="123444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4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Proxy Statement Pursuant to Section 14(a) of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the Securities Exchange Act of 1934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(Amendment No.    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2954020</wp:posOffset>
            </wp:positionH>
            <wp:positionV relativeFrom="paragraph">
              <wp:posOffset>142875</wp:posOffset>
            </wp:positionV>
            <wp:extent cx="123444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44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1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9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under §240.14a-12</w:t>
      </w:r>
    </w:p>
    <w:p>
      <w:pPr>
        <w:spacing w:after="0" w:line="179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b w:val="1"/>
          <w:bCs w:val="1"/>
          <w:color w:val="auto"/>
        </w:rPr>
        <w:t>ICF INTERNATIONAL, INC.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all boxes that apply):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</w:t>
      </w:r>
    </w:p>
    <w:p>
      <w:pPr>
        <w:spacing w:after="0" w:line="1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40" w:hanging="328"/>
        <w:spacing w:after="0"/>
        <w:tabs>
          <w:tab w:leader="none" w:pos="340" w:val="left"/>
        </w:tabs>
        <w:numPr>
          <w:ilvl w:val="1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</w:t>
      </w:r>
    </w:p>
    <w:p>
      <w:pPr>
        <w:spacing w:after="0" w:line="9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40" w:hanging="328"/>
        <w:spacing w:after="0"/>
        <w:tabs>
          <w:tab w:leader="none" w:pos="340" w:val="left"/>
        </w:tabs>
        <w:numPr>
          <w:ilvl w:val="1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227330</wp:posOffset>
            </wp:positionV>
            <wp:extent cx="71323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321945</wp:posOffset>
            </wp:positionV>
            <wp:extent cx="7132320" cy="342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476250</wp:posOffset>
            </wp:positionV>
            <wp:extent cx="7132320" cy="171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732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32320" cy="900112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900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32320" cy="908685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908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19495CFF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2AE8944A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☒"/>
      <w:numFmt w:val="bullet"/>
      <w:start w:val="1"/>
    </w:lvl>
    <w:lvl w:ilvl="1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2026-04-22T15:17:17Z</dcterms:created>
  <dcterms:modified xsi:type="dcterms:W3CDTF">2026-04-22T15:17:17Z</dcterms:modified>
</cp:coreProperties>
</file>