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Michelle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1902 RESTON METRO PLAZA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ICF International, Inc.</w:t>
              </w:r>
            </w:hyperlink>
            <w:r>
              <w:rPr/>
              <w:t xml:space="preserve"> [ </w:t>
            </w:r>
            <w:r>
              <w:rPr>
                <w:rFonts w:ascii="Times;serif" w:hAnsi="Times;serif"/>
                <w:color w:val="0000FF"/>
                <w:sz w:val="24"/>
                <w:shd w:fill="FFFFFF" w:val="clear"/>
              </w:rPr>
              <w:t>ICFI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8,498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award of restricted stock units was granted pursuant to the ICF International, Inc. 2026 Omnibus Incentive Plan, and represents the Reporting Person's annual equity award. These restricted stock units will vest on the one year anniversary of the Date of Grant (July 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 Daniel,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4152" TargetMode="External"/><Relationship Id="rId5" Type="http://schemas.openxmlformats.org/officeDocument/2006/relationships/hyperlink" Target="http://www.sec.gov/cgi-bin/browse-edgar?action=getcompany&amp;CIK=0001362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3267</Characters>
  <CharactersWithSpaces>3810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