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Datar Srikant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1902 RESTON METRO PLAZA</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20190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ICF International, Inc.</w:t>
              </w:r>
            </w:hyperlink>
            <w:r>
              <w:rPr/>
              <w:t xml:space="preserve"> [ </w:t>
            </w:r>
            <w:r>
              <w:rPr>
                <w:rFonts w:ascii="Times;serif" w:hAnsi="Times;serif"/>
                <w:color w:val="0000FF"/>
                <w:sz w:val="24"/>
                <w:shd w:fill="FFFFFF" w:val="clear"/>
              </w:rPr>
              <w:t>ICFI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6"/>
        <w:gridCol w:w="928"/>
        <w:gridCol w:w="797"/>
        <w:gridCol w:w="616"/>
        <w:gridCol w:w="343"/>
        <w:gridCol w:w="816"/>
        <w:gridCol w:w="423"/>
        <w:gridCol w:w="903"/>
        <w:gridCol w:w="1123"/>
        <w:gridCol w:w="972"/>
        <w:gridCol w:w="128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(1)</w:t>
            </w:r>
            <w:r>
              <w:rPr/>
              <w:t xml:space="preserve"> </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5,998</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6,851</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LegacyCap LLC</w:t>
            </w:r>
          </w:p>
        </w:tc>
      </w:tr>
      <w:tr>
        <w:trPr/>
        <w:tc>
          <w:tcPr>
            <w:tcW w:w="199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33,428</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Safari Investments</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award of restricted stock units was granted pursuant to the ICF International, Inc. 2026 Omnibus Incentive Plan, and represents the Reporting Person's annual equity award. These restricted stock units will vest on the one year anniversary of the Date of Grant (July 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 Daniel,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6436" TargetMode="External"/><Relationship Id="rId5" Type="http://schemas.openxmlformats.org/officeDocument/2006/relationships/hyperlink" Target="http://www.sec.gov/cgi-bin/browse-edgar?action=getcompany&amp;CIK=00013620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3318</Characters>
  <CharactersWithSpaces>3863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