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02, 2026</w:t>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ICF International,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2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001-33045</w:t>
            </w:r>
          </w:p>
        </w:tc>
        <w:tc>
          <w:tcPr>
            <w:tcW w:w="3660" w:type="dxa"/>
            <w:vAlign w:val="bottom"/>
            <w:tcBorders>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22-3661438</w:t>
            </w:r>
          </w:p>
        </w:tc>
      </w:tr>
      <w:tr>
        <w:trPr>
          <w:trHeight w:val="191"/>
        </w:trPr>
        <w:tc>
          <w:tcPr>
            <w:tcW w:w="4160" w:type="dxa"/>
            <w:vAlign w:val="bottom"/>
          </w:tcPr>
          <w:p>
            <w:pPr>
              <w:jc w:val="center"/>
              <w:ind w:right="31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420" w:type="dxa"/>
            <w:vAlign w:val="bottom"/>
          </w:tcPr>
          <w:p>
            <w:pPr>
              <w:jc w:val="center"/>
              <w:ind w:right="41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366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1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incorporation)</w:t>
            </w:r>
          </w:p>
        </w:tc>
        <w:tc>
          <w:tcPr>
            <w:tcW w:w="34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32"/>
        </w:trPr>
        <w:tc>
          <w:tcPr>
            <w:tcW w:w="41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1902 Reston Metro Plaza, Reston, Virginia</w:t>
            </w:r>
          </w:p>
        </w:tc>
        <w:tc>
          <w:tcPr>
            <w:tcW w:w="34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20190</w:t>
            </w:r>
          </w:p>
        </w:tc>
      </w:tr>
      <w:tr>
        <w:trPr>
          <w:trHeight w:val="228"/>
        </w:trPr>
        <w:tc>
          <w:tcPr>
            <w:tcW w:w="41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420" w:type="dxa"/>
            <w:vAlign w:val="bottom"/>
          </w:tcPr>
          <w:p>
            <w:pPr>
              <w:spacing w:after="0"/>
              <w:rPr>
                <w:sz w:val="19"/>
                <w:szCs w:val="19"/>
                <w:color w:val="auto"/>
              </w:rPr>
            </w:pPr>
          </w:p>
        </w:tc>
        <w:tc>
          <w:tcPr>
            <w:tcW w:w="36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(703) 934-3000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60" w:type="dxa"/>
            <w:vAlign w:val="bottom"/>
            <w:tcBorders>
              <w:top w:val="single" w:sz="8" w:color="auto"/>
              <w:bottom w:val="single" w:sz="8" w:color="auto"/>
            </w:tcBorders>
          </w:tcPr>
          <w:p>
            <w:pPr>
              <w:spacing w:after="0"/>
              <w:rPr>
                <w:sz w:val="21"/>
                <w:szCs w:val="21"/>
                <w:color w:val="auto"/>
              </w:rPr>
            </w:pPr>
          </w:p>
        </w:tc>
        <w:tc>
          <w:tcPr>
            <w:tcW w:w="3280" w:type="dxa"/>
            <w:vAlign w:val="bottom"/>
            <w:tcBorders>
              <w:top w:val="single" w:sz="8" w:color="auto"/>
              <w:bottom w:val="single" w:sz="8" w:color="auto"/>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Trading Symbols(s)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3"/>
        </w:trPr>
        <w:tc>
          <w:tcPr>
            <w:tcW w:w="37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460" w:type="dxa"/>
            <w:vAlign w:val="bottom"/>
            <w:tcBorders>
              <w:bottom w:val="single" w:sz="8" w:color="auto"/>
            </w:tcBorders>
          </w:tcPr>
          <w:p>
            <w:pPr>
              <w:spacing w:after="0"/>
              <w:rPr>
                <w:sz w:val="16"/>
                <w:szCs w:val="16"/>
                <w:color w:val="auto"/>
              </w:rPr>
            </w:pPr>
          </w:p>
        </w:tc>
        <w:tc>
          <w:tcPr>
            <w:tcW w:w="3280" w:type="dxa"/>
            <w:vAlign w:val="bottom"/>
            <w:tcBorders>
              <w:bottom w:val="single" w:sz="8" w:color="auto"/>
              <w:right w:val="single" w:sz="8" w:color="auto"/>
            </w:tcBorders>
            <w:gridSpan w:val="2"/>
          </w:tcPr>
          <w:p>
            <w:pPr>
              <w:jc w:val="center"/>
              <w:ind w:right="500"/>
              <w:spacing w:after="0" w:line="193" w:lineRule="exact"/>
              <w:rPr>
                <w:sz w:val="20"/>
                <w:szCs w:val="20"/>
                <w:color w:val="auto"/>
              </w:rPr>
            </w:pPr>
            <w:r>
              <w:rPr>
                <w:rFonts w:ascii="Times New Roman" w:cs="Times New Roman" w:eastAsia="Times New Roman" w:hAnsi="Times New Roman"/>
                <w:sz w:val="18"/>
                <w:szCs w:val="18"/>
                <w:color w:val="auto"/>
                <w:w w:val="99"/>
              </w:rPr>
              <w:t>ICFI</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63"/>
        </w:trPr>
        <w:tc>
          <w:tcPr>
            <w:tcW w:w="37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3740" w:type="dxa"/>
            <w:vAlign w:val="bottom"/>
            <w:tcBorders>
              <w:bottom w:val="single" w:sz="8" w:color="auto"/>
            </w:tcBorders>
          </w:tcPr>
          <w:p>
            <w:pPr>
              <w:spacing w:after="0"/>
              <w:rPr>
                <w:sz w:val="22"/>
                <w:szCs w:val="22"/>
                <w:color w:val="auto"/>
              </w:rPr>
            </w:pPr>
          </w:p>
        </w:tc>
      </w:tr>
      <w:tr>
        <w:trPr>
          <w:trHeight w:val="318"/>
        </w:trPr>
        <w:tc>
          <w:tcPr>
            <w:tcW w:w="3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5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right="300" w:firstLine="8"/>
        <w:spacing w:after="0" w:line="282" w:lineRule="auto"/>
        <w:tabs>
          <w:tab w:leader="none" w:pos="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2026 Annual Meeting of Stockholders of ICF International, Inc. (the “Company”) was held on Tuesday, June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matters acted upon by the Company’s stockholders at the Annual Meeting, and the final voting results of each such matter.</w:t>
      </w:r>
    </w:p>
    <w:p>
      <w:pPr>
        <w:spacing w:after="0" w:line="22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three (3) directors to serve for a term expiring at the Company’s annual meeting in 2029:</w:t>
      </w:r>
    </w:p>
    <w:p>
      <w:pPr>
        <w:spacing w:after="0" w:line="178"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5"/>
              </w:rPr>
              <w:t>Votes For</w:t>
            </w: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Votes Withheld</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Broker Non-Votes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16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4"/>
        </w:trPr>
        <w:tc>
          <w:tcPr>
            <w:tcW w:w="44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r>
      <w:tr>
        <w:trPr>
          <w:trHeight w:val="220"/>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Marilyn Crouther</w:t>
            </w:r>
          </w:p>
        </w:tc>
        <w:tc>
          <w:tcPr>
            <w:tcW w:w="2020" w:type="dxa"/>
            <w:vAlign w:val="bottom"/>
            <w:gridSpan w:val="3"/>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14,365,015</w:t>
            </w:r>
          </w:p>
        </w:tc>
        <w:tc>
          <w:tcPr>
            <w:tcW w:w="14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216,212</w:t>
            </w: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19,757</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1,671,221</w:t>
            </w:r>
          </w:p>
        </w:tc>
        <w:tc>
          <w:tcPr>
            <w:tcW w:w="8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16,272,205</w:t>
            </w:r>
          </w:p>
        </w:tc>
      </w:tr>
      <w:tr>
        <w:trPr>
          <w:trHeight w:val="21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J. Van Handel</w:t>
            </w:r>
          </w:p>
        </w:tc>
        <w:tc>
          <w:tcPr>
            <w:tcW w:w="202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8"/>
              </w:rPr>
              <w:t>14,124,745</w:t>
            </w:r>
          </w:p>
        </w:tc>
        <w:tc>
          <w:tcPr>
            <w:tcW w:w="14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455,210</w:t>
            </w:r>
          </w:p>
        </w:tc>
        <w:tc>
          <w:tcPr>
            <w:tcW w:w="320" w:type="dxa"/>
            <w:vAlign w:val="bottom"/>
          </w:tcPr>
          <w:p>
            <w:pPr>
              <w:spacing w:after="0"/>
              <w:rPr>
                <w:sz w:val="18"/>
                <w:szCs w:val="18"/>
                <w:color w:val="auto"/>
              </w:rPr>
            </w:pPr>
          </w:p>
        </w:tc>
        <w:tc>
          <w:tcPr>
            <w:tcW w:w="8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21,029</w:t>
            </w:r>
          </w:p>
        </w:tc>
        <w:tc>
          <w:tcPr>
            <w:tcW w:w="2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1,671,221</w:t>
            </w:r>
          </w:p>
        </w:tc>
        <w:tc>
          <w:tcPr>
            <w:tcW w:w="80" w:type="dxa"/>
            <w:vAlign w:val="bottom"/>
          </w:tcPr>
          <w:p>
            <w:pPr>
              <w:spacing w:after="0"/>
              <w:rPr>
                <w:sz w:val="18"/>
                <w:szCs w:val="18"/>
                <w:color w:val="auto"/>
              </w:rPr>
            </w:pPr>
          </w:p>
        </w:tc>
        <w:tc>
          <w:tcPr>
            <w:tcW w:w="16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16,272,205</w:t>
            </w:r>
          </w:p>
        </w:tc>
      </w:tr>
      <w:tr>
        <w:trPr>
          <w:trHeight w:val="216"/>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Michelle A. Williams</w:t>
            </w:r>
          </w:p>
        </w:tc>
        <w:tc>
          <w:tcPr>
            <w:tcW w:w="2020" w:type="dxa"/>
            <w:vAlign w:val="bottom"/>
            <w:gridSpan w:val="3"/>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14,452,878</w:t>
            </w:r>
          </w:p>
        </w:tc>
        <w:tc>
          <w:tcPr>
            <w:tcW w:w="14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127,550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20,556</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1,671,221</w:t>
            </w:r>
          </w:p>
        </w:tc>
        <w:tc>
          <w:tcPr>
            <w:tcW w:w="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16,272,205</w:t>
            </w:r>
          </w:p>
        </w:tc>
      </w:tr>
    </w:tbl>
    <w:p>
      <w:pPr>
        <w:spacing w:after="0" w:line="19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the executive compensation of the named executive officers:</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For</w:t>
            </w:r>
          </w:p>
        </w:tc>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Against</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1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w w:val="95"/>
              </w:rPr>
              <w:t>Broker Non-Votes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1</w:t>
            </w:r>
          </w:p>
        </w:tc>
        <w:tc>
          <w:tcPr>
            <w:tcW w:w="520" w:type="dxa"/>
            <w:vAlign w:val="bottom"/>
            <w:vMerge w:val="restart"/>
          </w:tcPr>
          <w:p>
            <w:pPr>
              <w:spacing w:after="0"/>
              <w:rPr>
                <w:sz w:val="14"/>
                <w:szCs w:val="14"/>
                <w:color w:val="auto"/>
              </w:rPr>
            </w:pPr>
          </w:p>
        </w:tc>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
        </w:trPr>
        <w:tc>
          <w:tcPr>
            <w:tcW w:w="1920" w:type="dxa"/>
            <w:vAlign w:val="bottom"/>
            <w:gridSpan w:val="2"/>
            <w:vMerge w:val="continue"/>
          </w:tcPr>
          <w:p>
            <w:pPr>
              <w:spacing w:after="0" w:line="20" w:lineRule="exact"/>
              <w:rPr>
                <w:sz w:val="1"/>
                <w:szCs w:val="1"/>
                <w:color w:val="auto"/>
              </w:rPr>
            </w:pPr>
          </w:p>
        </w:tc>
        <w:tc>
          <w:tcPr>
            <w:tcW w:w="1900" w:type="dxa"/>
            <w:vAlign w:val="bottom"/>
            <w:gridSpan w:val="2"/>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9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90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13,867,460</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403,857</w:t>
            </w: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329,667</w:t>
            </w:r>
          </w:p>
        </w:tc>
        <w:tc>
          <w:tcPr>
            <w:tcW w:w="1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1,671,221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16,272,205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ICF International, Inc. 2026 Omnibus Incentive Plan:</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1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5"/>
              </w:rPr>
              <w:t>Broker Non-Votes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52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r>
      <w:tr>
        <w:trPr>
          <w:trHeight w:val="24"/>
        </w:trPr>
        <w:tc>
          <w:tcPr>
            <w:tcW w:w="24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r>
      <w:tr>
        <w:trPr>
          <w:trHeight w:val="220"/>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13,949,756</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323,716</w:t>
            </w: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327,512</w:t>
            </w:r>
          </w:p>
        </w:tc>
        <w:tc>
          <w:tcPr>
            <w:tcW w:w="1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1,671,221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16,272,205</w:t>
            </w: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Grant Thornton LLP as Independent Registered Public Accountant of the Company for fiscal year 2026:</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1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5"/>
              </w:rPr>
              <w:t>Broker Non-Votes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52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r>
      <w:tr>
        <w:trPr>
          <w:trHeight w:val="24"/>
        </w:trPr>
        <w:tc>
          <w:tcPr>
            <w:tcW w:w="24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r>
      <w:tr>
        <w:trPr>
          <w:trHeight w:val="220"/>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15,910,378</w:t>
            </w: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269,998</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91,829</w:t>
            </w:r>
          </w:p>
        </w:tc>
        <w:tc>
          <w:tcPr>
            <w:tcW w:w="6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16,272,205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1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8"/>
        <w:spacing w:after="0" w:line="210" w:lineRule="auto"/>
        <w:tabs>
          <w:tab w:leader="none" w:pos="11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broker non-vote occurs when a broker, bank or other nominee holding shares for a beneficial owner does not vote on a particular proposal because the nominee does not have discretionary voting power with respect to the item and has not received voting instructions from the beneficial owner of the shares it holds. Broker non-votes are counted when determining whether the necessary quorum of stockholders is present or represented at each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ICF International, Inc.</w:t>
      </w:r>
    </w:p>
    <w:p>
      <w:pPr>
        <w:spacing w:after="0" w:line="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8"/>
          <w:szCs w:val="18"/>
          <w:color w:val="auto"/>
        </w:rPr>
        <w:t>By: /s/ James E.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James E. Daniel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2026-06-05T15:12:46Z</dcterms:created>
  <dcterms:modified xsi:type="dcterms:W3CDTF">2026-06-05T15:12:46Z</dcterms:modified>
</cp:coreProperties>
</file>