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22, 2026</w:t>
      </w:r>
    </w:p>
    <w:p>
      <w:pPr>
        <w:spacing w:after="0" w:line="30"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6799580</wp:posOffset>
            </wp:positionH>
            <wp:positionV relativeFrom="paragraph">
              <wp:posOffset>-20955</wp:posOffset>
            </wp:positionV>
            <wp:extent cx="338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ICF INTERNATIONAL, INC.</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488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22-3661438</w:t>
            </w:r>
          </w:p>
        </w:tc>
      </w:tr>
      <w:tr>
        <w:trPr>
          <w:trHeight w:val="214"/>
        </w:trPr>
        <w:tc>
          <w:tcPr>
            <w:tcW w:w="488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060" w:type="dxa"/>
            <w:vAlign w:val="bottom"/>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r>
      <w:tr>
        <w:trPr>
          <w:trHeight w:val="237"/>
        </w:trPr>
        <w:tc>
          <w:tcPr>
            <w:tcW w:w="488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3060" w:type="dxa"/>
            <w:vAlign w:val="bottom"/>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5"/>
        </w:trPr>
        <w:tc>
          <w:tcPr>
            <w:tcW w:w="488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8"/>
              </w:rPr>
              <w:t>1902 Reston Metro Plaza, Reston, Virginia</w:t>
            </w:r>
          </w:p>
        </w:tc>
        <w:tc>
          <w:tcPr>
            <w:tcW w:w="30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237"/>
        </w:trPr>
        <w:tc>
          <w:tcPr>
            <w:tcW w:w="4880" w:type="dxa"/>
            <w:vAlign w:val="bottom"/>
          </w:tcPr>
          <w:p>
            <w:pPr>
              <w:jc w:val="center"/>
              <w:ind w:right="155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jc w:val="center"/>
              <w:ind w:left="1551"/>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ICF International, Inc. 2026 Omnibus Incentive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ICF INTERNATIONAL,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1902 Reston Metro Plaza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Reston, Virginia 20190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934-3000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smaller reporting company)</w:t>
            </w:r>
          </w:p>
        </w:tc>
        <w:tc>
          <w:tcPr>
            <w:tcW w:w="38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7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Esposito, Jr., Esq.</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Squire Patton Boggs (US)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Key Tower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127 Public Square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Cleveland, Ohio 44114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38" w:right="339" w:bottom="952"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428"/>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registers 1,321,000 shares of common stock, par value $0.001 per share (the “Common Stock”) of ICF International, Inc. (“ICF” or the “Registrant”) under the ICF International, Inc. 2026 Omnibus Incentive Plan (the “2026 Plan”). Pursuant to Rule 416(a) under the Securities Act of 1933, as amended (the “Securities Act”), this Registration Statement also includes an indeterminable number of shares of ICF’s Common Stock that become issuable under the 2026 Plan by reason of any stock dividend, stock split, recapitalization, or other similar transaction effected without receipt of consideration that increases the number of outstanding shares of the Registrant’s Common Stock. The 2026 Plan and the number of shares available for issuance under the 2026 Plan were approved by ICF’s stockholders on June 2, 2026, at the 2026 Annual Meeting of Stockholders of ICF. A description of the shares available to be awarded under the 2026 Plan, as well as a summary of the terms of the 2026 Plan, are described in ICF’s definitive Proxy Statement, filed with the Securities and Exchange Commission (the “SEC”) on April 22, 2026.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ind w:firstLine="428"/>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2026 Plan as specified by Rule 428(b)(l) under the Securities Act. In accordance with the rules and regulations of the SEC and the instructions to Form S-8, such documents need not be filed with the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SEC are incorporated by reference into this Registration Statement:</w:t>
      </w:r>
    </w:p>
    <w:p>
      <w:pPr>
        <w:spacing w:after="0" w:line="220" w:lineRule="exact"/>
        <w:rPr>
          <w:sz w:val="20"/>
          <w:szCs w:val="20"/>
          <w:color w:val="auto"/>
        </w:rPr>
      </w:pPr>
    </w:p>
    <w:p>
      <w:pPr>
        <w:ind w:left="680" w:hanging="246"/>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27, 2026;</w:t>
      </w:r>
    </w:p>
    <w:p>
      <w:pPr>
        <w:spacing w:after="0" w:line="220" w:lineRule="exact"/>
        <w:rPr>
          <w:rFonts w:ascii="Times New Roman" w:cs="Times New Roman" w:eastAsia="Times New Roman" w:hAnsi="Times New Roman"/>
          <w:sz w:val="18"/>
          <w:szCs w:val="18"/>
          <w:color w:val="auto"/>
        </w:rPr>
      </w:pPr>
    </w:p>
    <w:p>
      <w:pPr>
        <w:ind w:left="680" w:hanging="246"/>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220" w:lineRule="exact"/>
        <w:rPr>
          <w:rFonts w:ascii="Times New Roman" w:cs="Times New Roman" w:eastAsia="Times New Roman" w:hAnsi="Times New Roman"/>
          <w:sz w:val="18"/>
          <w:szCs w:val="18"/>
          <w:color w:val="auto"/>
        </w:rPr>
      </w:pPr>
    </w:p>
    <w:p>
      <w:pPr>
        <w:ind w:firstLine="434"/>
        <w:spacing w:after="0" w:line="277" w:lineRule="auto"/>
        <w:tabs>
          <w:tab w:leader="none" w:pos="676"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February 26,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7,</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June 5, 2026</w:t>
        </w:r>
      </w:hyperlink>
      <w:hyperlink r:id="rId20">
        <w:r>
          <w:rPr>
            <w:rFonts w:ascii="Times New Roman" w:cs="Times New Roman" w:eastAsia="Times New Roman" w:hAnsi="Times New Roman"/>
            <w:sz w:val="18"/>
            <w:szCs w:val="18"/>
            <w:color w:val="000000"/>
          </w:rPr>
          <w:t>; and</w:t>
        </w:r>
      </w:hyperlink>
    </w:p>
    <w:p>
      <w:pPr>
        <w:spacing w:after="0" w:line="163" w:lineRule="exact"/>
        <w:rPr>
          <w:rFonts w:ascii="Times New Roman" w:cs="Times New Roman" w:eastAsia="Times New Roman" w:hAnsi="Times New Roman"/>
          <w:sz w:val="18"/>
          <w:szCs w:val="18"/>
          <w:color w:val="0000EE"/>
        </w:rPr>
      </w:pPr>
    </w:p>
    <w:p>
      <w:pPr>
        <w:ind w:firstLine="434"/>
        <w:spacing w:after="0" w:line="277" w:lineRule="auto"/>
        <w:tabs>
          <w:tab w:leader="none" w:pos="6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w:t>
      </w:r>
      <w:hyperlink r:id="rId22">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filed with the SEC on February 25, 2022 (File No. 001-33045), including any amendment or report filed for the purpose of updating such description.</w:t>
      </w:r>
    </w:p>
    <w:p>
      <w:pPr>
        <w:spacing w:after="0" w:line="163" w:lineRule="exact"/>
        <w:rPr>
          <w:rFonts w:ascii="Times New Roman" w:cs="Times New Roman" w:eastAsia="Times New Roman" w:hAnsi="Times New Roman"/>
          <w:sz w:val="18"/>
          <w:szCs w:val="18"/>
          <w:color w:val="0000EE"/>
        </w:rPr>
      </w:pPr>
    </w:p>
    <w:p>
      <w:pPr>
        <w:jc w:val="both"/>
        <w:ind w:firstLine="428"/>
        <w:spacing w:after="0" w:line="252"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provided, that documents or information deemed to have been “furnished” and not “filed” in accordance with the rules of the SEC shall not be deemed incorporated by reference into this Registration Statement. Any statement contained in a document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statement. Any statement so modified or superseded shall not be deemed, except as so modified or superseded, to constitute a part of this Registration Statement.</w:t>
      </w:r>
    </w:p>
    <w:p>
      <w:pPr>
        <w:spacing w:after="0" w:line="181" w:lineRule="exact"/>
        <w:rPr>
          <w:rFonts w:ascii="Times New Roman" w:cs="Times New Roman" w:eastAsia="Times New Roman" w:hAnsi="Times New Roman"/>
          <w:sz w:val="18"/>
          <w:szCs w:val="18"/>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of Named Experts and Counsel.</w:t>
      </w:r>
    </w:p>
    <w:p>
      <w:pPr>
        <w:spacing w:after="0" w:line="22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Sixth of the Registrant’s Amended and Restated Certificate of Incorporation provides as follows: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Indemnification.</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Section 6.1. Right to Indemnification. Each person who was or is a party or is threatened to be made a party to or is involved in any threatened, pending or completed action, suit, proceeding or alternative dispute resolution procedure, whether (a) civil, criminal, administrative, investigative or otherwise, (b) formal or informal or (c) by or in the right of the Corporation (collectively, a “proceeding”), by reason of the fact that he or she, or a person of whom he or she is the legal representative, is or was a director, officer, employee or agent of the Corporation or is or was serving at the request of the Corporation as a director, manager, officer, partner, trustee, employee or agent of another foreign or domestic corporation or of a foreign or domestic limited liability company, partnership, joint venture, trust or other enterprise, including service with respect to employee benefit plans, whether the basis of such proceeding is alleged action in an official capacity as such a director, officer, employee or agent of the Corporation or in any other capacity while serving as such other director, manager, officer, partner, trustee, employee or agent, shall be indemnified and held harmless by the Corporation against all judgments, penalties and fines incurred or paid, and against all expenses (including attorneys’ fees) and settlement amounts incurred or paid, in connection with any such proceeding, except in relation to matters as to which the person did not act in good faith and in a manner the person reasonably believed to be in or not opposed to the best interests of the Corporation, and, with respect to any criminal action or proceeding, had reasonable cause to believe the person’s conduct was unlawful. The termination of any proceeding by judgment, order, settlement, conviction, or upon a plea of nolo contendere or its equivalent, shall not, of itself, create a presumption that (a) the person did not act in good faith and in a manner which the person reasonably believed to be in or not opposed to the best interests of the Corporation, (b) with respect to any criminal action or proceeding, the person had reasonable cause to believe that the person’s conduct was unlawful or</w:t>
      </w:r>
    </w:p>
    <w:p>
      <w:pPr>
        <w:spacing w:after="0" w:line="1" w:lineRule="exact"/>
        <w:rPr>
          <w:sz w:val="20"/>
          <w:szCs w:val="20"/>
          <w:color w:val="auto"/>
        </w:rPr>
      </w:pPr>
    </w:p>
    <w:p>
      <w:pPr>
        <w:jc w:val="both"/>
        <w:ind w:firstLine="7"/>
        <w:spacing w:after="0" w:line="250"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was not successful on the merits or otherwise in defense of the proceeding or of any claim, issue or matter therein. If the DGCL is hereafter amended to provide for indemnification rights broader than those provided by this Section 6.1, then the persons referred to in this Section 6.1 shall be indemnified and held harmless by the Corporation to the fullest extent permitted by the DGCL as so amended (but, in the case of any such amendment, only to the extent that such amendment permits the Corporation to provide broader indemnification rights than permitted prior to such amendment).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6.2. Determination of Entitlement to Indemnification. A determination as to whether a person who is a director or officer of the Corporation at the time of the determination is entitled to be indemnified and held harmless under Section 6.1 shall be made (a) by a majority vote of the directors who are not parties to such proceeding, even though less than a quorum, (b) by a committee of such directors designated by majority vote of such directors, even though less than a quorum, (c) if there are no such directors, or if such directors so direct, by independent legal counsel in a written opinion, or (d) by the stockholders. A determination as to whether a person who is not a director or officer of the Corporation at the time of the determination is entitled to be indemnified and held harmless under Section 6.1 shall be made by or as directed by the Board of Directors of the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6.3. Mandatory Advancement of Expenses. The right to indemnification conferred in this Article Sixth shall include the right to require the Corporation to pay the expenses (including attorneys’ fees) incurred in defending any such proceeding in advance of its final disposition; provided, however, that, if the Board of Directors so determines, an advancement of expenses incurred by an indemnitee in his or her capacity as a director or officer of the Corporation (but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be finally determined that such indemnitee is not entitled to be indemnified for such expenses under Section 6.1 or otherwise.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Section 6.4. Non-Exclusivity of Rights. The right to indemnification and the advancement of expenses conferred in this Article Sixth shall not be exclusive of any other right which any person may have or hereafter acquire under any statute, any provision of this Certificate of Incorporation or of any bylaw, agreement, or insurance policy or arrangement, or any vote of stockholders or disinterested directors, or otherwise. The Board of Directors is expressly authorized to adopt and enter into indemnification agreements with, and obtain insurance for, directors and officers.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Section 6.5. Effect of Amendment. Neither any amendment, repeal, or modification of this Article Sixth, nor the adoption or amendment of any other provision of this Certificate of Incorporation or the bylaws of the Corporation inconsistent with this Article Sixth, shall adversely affect any right or protection provided hereby with respect to any act or omission occurring prior to the date when such amendment, repeal, modification, or adoption became effective.”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§145 of the DGCL provides for indemnification of officers, directors, employees and agents as set forth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145. Indemnification of officers, directors, employees and agents; insurance.</w:t>
      </w:r>
    </w:p>
    <w:p>
      <w:pPr>
        <w:spacing w:after="0" w:line="220" w:lineRule="exact"/>
        <w:rPr>
          <w:sz w:val="20"/>
          <w:szCs w:val="20"/>
          <w:color w:val="auto"/>
        </w:rPr>
      </w:pPr>
    </w:p>
    <w:p>
      <w:pPr>
        <w:ind w:firstLine="7"/>
        <w:spacing w:after="0" w:line="251" w:lineRule="auto"/>
        <w:tabs>
          <w:tab w:leader="none" w:pos="3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jc w:val="both"/>
        <w:ind w:firstLine="7"/>
        <w:spacing w:after="0" w:line="251" w:lineRule="auto"/>
        <w:tabs>
          <w:tab w:leader="none" w:pos="7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9" w:lineRule="exact"/>
        <w:rPr>
          <w:rFonts w:ascii="Times New Roman" w:cs="Times New Roman" w:eastAsia="Times New Roman" w:hAnsi="Times New Roman"/>
          <w:sz w:val="18"/>
          <w:szCs w:val="18"/>
          <w:color w:val="auto"/>
        </w:rPr>
      </w:pPr>
    </w:p>
    <w:p>
      <w:pPr>
        <w:jc w:val="both"/>
        <w:ind w:firstLine="7"/>
        <w:spacing w:after="0" w:line="252" w:lineRule="auto"/>
        <w:tabs>
          <w:tab w:leader="none" w:pos="6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p>
      <w:pPr>
        <w:spacing w:after="0" w:line="188" w:lineRule="exact"/>
        <w:rPr>
          <w:rFonts w:ascii="Times New Roman" w:cs="Times New Roman" w:eastAsia="Times New Roman" w:hAnsi="Times New Roman"/>
          <w:sz w:val="18"/>
          <w:szCs w:val="18"/>
          <w:color w:val="auto"/>
        </w:rPr>
      </w:pPr>
    </w:p>
    <w:p>
      <w:pPr>
        <w:jc w:val="both"/>
        <w:ind w:firstLine="648"/>
        <w:spacing w:after="0" w:line="262"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action, suit or proceeding referred to in subsections (a) and (b) of this section, or in defense of any claim, issue or matter therein.</w:t>
      </w:r>
    </w:p>
    <w:p>
      <w:pPr>
        <w:spacing w:after="0" w:line="177" w:lineRule="exact"/>
        <w:rPr>
          <w:rFonts w:ascii="Times New Roman" w:cs="Times New Roman" w:eastAsia="Times New Roman" w:hAnsi="Times New Roman"/>
          <w:sz w:val="18"/>
          <w:szCs w:val="18"/>
          <w:color w:val="auto"/>
        </w:rPr>
      </w:pPr>
    </w:p>
    <w:p>
      <w:pPr>
        <w:jc w:val="both"/>
        <w:ind w:firstLine="7"/>
        <w:spacing w:after="0" w:line="26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By the stockholders.</w:t>
      </w:r>
    </w:p>
    <w:p>
      <w:pPr>
        <w:spacing w:after="0" w:line="201" w:lineRule="exact"/>
        <w:rPr>
          <w:rFonts w:ascii="Times New Roman" w:cs="Times New Roman" w:eastAsia="Times New Roman" w:hAnsi="Times New Roman"/>
          <w:sz w:val="17"/>
          <w:szCs w:val="17"/>
          <w:color w:val="auto"/>
        </w:rPr>
      </w:pPr>
    </w:p>
    <w:p>
      <w:pPr>
        <w:jc w:val="both"/>
        <w:ind w:firstLine="7"/>
        <w:spacing w:after="0" w:line="271" w:lineRule="auto"/>
        <w:tabs>
          <w:tab w:leader="none" w:pos="8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71" w:lineRule="exact"/>
        <w:rPr>
          <w:rFonts w:ascii="Times New Roman" w:cs="Times New Roman" w:eastAsia="Times New Roman" w:hAnsi="Times New Roman"/>
          <w:sz w:val="17"/>
          <w:szCs w:val="17"/>
          <w:color w:val="auto"/>
        </w:rPr>
      </w:pPr>
    </w:p>
    <w:p>
      <w:pPr>
        <w:jc w:val="both"/>
        <w:ind w:firstLine="7"/>
        <w:spacing w:after="0" w:line="252" w:lineRule="auto"/>
        <w:tabs>
          <w:tab w:leader="none" w:pos="6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rFonts w:ascii="Times New Roman" w:cs="Times New Roman" w:eastAsia="Times New Roman" w:hAnsi="Times New Roman"/>
          <w:sz w:val="18"/>
          <w:szCs w:val="18"/>
          <w:color w:val="auto"/>
        </w:rPr>
      </w:pPr>
    </w:p>
    <w:p>
      <w:pPr>
        <w:jc w:val="both"/>
        <w:ind w:firstLine="7"/>
        <w:spacing w:after="0" w:line="264"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For purposes of this subsection, insurance shall include any insurance provided directly or indirectly (including pursuant to any fronting or reinsurance arrangement) by or through a captive insurance company organized and licensed in compliance with the laws of any jurisdiction, including any captive insurance company licensed under Chapter 69 of Title 18, provided that the terms of any such captive insurance shall: (1) Exclude from coverage thereunder, and provide that the insurer shall not make any payment for, loss in connection with any claim made against any person arising out of, based upon or attributable to any (i) personal profit or other financial advantage to which such person was not legally entitled or (ii) deliberate criminal or deliberate fraudulent act of such person, or a knowing violation of law by such person, if (in the case of the foregoing paragraph (g)(1)(i) or (ii) of this section) established by a final, nonappealable adjudication in the underlying proceeding in respect of such claim (which shall not include an action or proceeding initiated by the insurer or the insured to determine coverage under the policy), unless and only to the extent such person is entitled to be indemnified therefor under this section; (2) Require that any determination to make a payment under such insurance in respect of a claim against a current director or officer (as defined in paragraph (c)</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this section) of the corporation shall be made by an independent claims administrator or in accordance with the provisions of paragraphs (d)(1) through</w:t>
      </w:r>
    </w:p>
    <w:p>
      <w:pPr>
        <w:spacing w:after="0" w:line="18"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of this section; and (3) Require that, prior to any payment under such insurance in connection with any dismissal or compromise of any action, suit or proceeding brought by or in the right of a corporation as to which notice is required to be given to stockholders, such corporation shall include in such notice that a payment is proposed to be made under such insurance in connection with such dismissal or compromise. For purposes of paragraph (g)(1) of this section, the conduct of an insured person shall not be imputed to any other insured person. A corporation that establishes or maintains a captive insurance company that provides insurance pursuant to this section shall not, solely by virtue thereof, be subject to the provisions of Title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 w:name="page5"/>
    <w:bookmarkEnd w:id="4"/>
    <w:p>
      <w:pPr>
        <w:jc w:val="both"/>
        <w:ind w:firstLine="7"/>
        <w:spacing w:after="0" w:line="253" w:lineRule="auto"/>
        <w:tabs>
          <w:tab w:leader="none" w:pos="7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86" w:lineRule="exact"/>
        <w:rPr>
          <w:rFonts w:ascii="Times New Roman" w:cs="Times New Roman" w:eastAsia="Times New Roman" w:hAnsi="Times New Roman"/>
          <w:sz w:val="18"/>
          <w:szCs w:val="18"/>
          <w:color w:val="auto"/>
        </w:rPr>
      </w:pPr>
    </w:p>
    <w:p>
      <w:pPr>
        <w:ind w:right="20" w:firstLine="7"/>
        <w:spacing w:after="0" w:line="253" w:lineRule="auto"/>
        <w:tabs>
          <w:tab w:leader="none" w:pos="3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86" w:lineRule="exact"/>
        <w:rPr>
          <w:rFonts w:ascii="Times New Roman" w:cs="Times New Roman" w:eastAsia="Times New Roman" w:hAnsi="Times New Roman"/>
          <w:sz w:val="18"/>
          <w:szCs w:val="18"/>
          <w:color w:val="auto"/>
        </w:rPr>
      </w:pPr>
    </w:p>
    <w:p>
      <w:pPr>
        <w:jc w:val="both"/>
        <w:ind w:firstLine="7"/>
        <w:spacing w:after="0" w:line="262" w:lineRule="auto"/>
        <w:tabs>
          <w:tab w:leader="none" w:pos="5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77" w:lineRule="exact"/>
        <w:rPr>
          <w:rFonts w:ascii="Times New Roman" w:cs="Times New Roman" w:eastAsia="Times New Roman" w:hAnsi="Times New Roman"/>
          <w:sz w:val="18"/>
          <w:szCs w:val="18"/>
          <w:color w:val="auto"/>
        </w:rPr>
      </w:pPr>
    </w:p>
    <w:p>
      <w:pPr>
        <w:jc w:val="both"/>
        <w:ind w:firstLine="7"/>
        <w:spacing w:after="0" w:line="262" w:lineRule="auto"/>
        <w:tabs>
          <w:tab w:leader="none" w:pos="6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ICF’s directors, officers, and controlling persons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ICF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the Registrant has purchased an insurance policy that purports to insure the officers and directors of ICF against certain liabilities incurred by them in the discharge of their functions as such officers and directors.</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60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18"/>
        </w:trPr>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6"/>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Number</w:t>
            </w:r>
          </w:p>
        </w:tc>
        <w:tc>
          <w:tcPr>
            <w:tcW w:w="5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381"/>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540" w:type="dxa"/>
            <w:vAlign w:val="bottom"/>
          </w:tcPr>
          <w:p>
            <w:pPr>
              <w:spacing w:after="0"/>
              <w:rPr>
                <w:sz w:val="24"/>
                <w:szCs w:val="24"/>
                <w:color w:val="auto"/>
              </w:rPr>
            </w:pPr>
          </w:p>
        </w:tc>
        <w:tc>
          <w:tcPr>
            <w:tcW w:w="10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Specimen common stock certificate (incorporated by reference to Exhibit 4.1 to the Registrant’s Registration Statement on Form S-1 (File</w:t>
              </w:r>
            </w:hyperlink>
          </w:p>
        </w:tc>
      </w:tr>
      <w:tr>
        <w:trPr>
          <w:trHeight w:val="194"/>
        </w:trPr>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60" w:type="dxa"/>
            <w:vAlign w:val="bottom"/>
            <w:gridSpan w:val="9"/>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No. 333-134018) and amendments thereto, declared effective September 27, 2006 (the “Form S-1”))</w:t>
              </w:r>
            </w:hyperlink>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40" w:type="dxa"/>
            <w:vAlign w:val="bottom"/>
          </w:tcPr>
          <w:p>
            <w:pPr>
              <w:spacing w:after="0"/>
              <w:rPr>
                <w:sz w:val="24"/>
                <w:szCs w:val="24"/>
                <w:color w:val="auto"/>
              </w:rPr>
            </w:pPr>
          </w:p>
        </w:tc>
        <w:tc>
          <w:tcPr>
            <w:tcW w:w="10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Certificate of Incorporation (incorporated by reference to Exhibit 3.1 to the Registrant’s Form 10-Q, filed with the</w:t>
              </w:r>
            </w:hyperlink>
          </w:p>
        </w:tc>
      </w:tr>
      <w:tr>
        <w:trPr>
          <w:trHeight w:val="194"/>
        </w:trPr>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60" w:type="dxa"/>
            <w:vAlign w:val="bottom"/>
            <w:gridSpan w:val="9"/>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SEC on August 3, 2017)</w:t>
              </w:r>
            </w:hyperlink>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540" w:type="dxa"/>
            <w:vAlign w:val="bottom"/>
          </w:tcPr>
          <w:p>
            <w:pPr>
              <w:spacing w:after="0"/>
              <w:rPr>
                <w:sz w:val="24"/>
                <w:szCs w:val="24"/>
                <w:color w:val="auto"/>
              </w:rPr>
            </w:pPr>
          </w:p>
        </w:tc>
        <w:tc>
          <w:tcPr>
            <w:tcW w:w="10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ICF International, Inc. (incorporated by reference to Exhibit 3.1 to the Registrant’s Form 8-K, filed with</w:t>
              </w:r>
            </w:hyperlink>
          </w:p>
        </w:tc>
      </w:tr>
      <w:tr>
        <w:trPr>
          <w:trHeight w:val="194"/>
        </w:trPr>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60" w:type="dxa"/>
            <w:vAlign w:val="bottom"/>
            <w:gridSpan w:val="9"/>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the SEC on September 26, 2023)</w:t>
              </w:r>
            </w:hyperlink>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540" w:type="dxa"/>
            <w:vAlign w:val="bottom"/>
          </w:tcPr>
          <w:p>
            <w:pPr>
              <w:spacing w:after="0"/>
              <w:rPr>
                <w:sz w:val="24"/>
                <w:szCs w:val="24"/>
                <w:color w:val="auto"/>
              </w:rPr>
            </w:pPr>
          </w:p>
        </w:tc>
        <w:tc>
          <w:tcPr>
            <w:tcW w:w="10060" w:type="dxa"/>
            <w:vAlign w:val="bottom"/>
            <w:gridSpan w:val="9"/>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Amended and Restated Registration Rights Agreement (incorporated by reference to Exhibit 4.2 to the Registrant’s Form S-1)</w:t>
              </w:r>
            </w:hyperlink>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540" w:type="dxa"/>
            <w:vAlign w:val="bottom"/>
          </w:tcPr>
          <w:p>
            <w:pPr>
              <w:spacing w:after="0"/>
              <w:rPr>
                <w:sz w:val="24"/>
                <w:szCs w:val="24"/>
                <w:color w:val="auto"/>
              </w:rPr>
            </w:pPr>
          </w:p>
        </w:tc>
        <w:tc>
          <w:tcPr>
            <w:tcW w:w="10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ICF International, Inc. 2026 Omnibus Incentive Plan (incorporated by reference to Exhibit A of the Registrant’s Proxy Statement on</w:t>
              </w:r>
            </w:hyperlink>
          </w:p>
        </w:tc>
      </w:tr>
      <w:tr>
        <w:trPr>
          <w:trHeight w:val="194"/>
        </w:trPr>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6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Schedule 14A, filed with the SEC on April 22, 2026, relating to the Registrant’s Annual Meeting of Stockholders held on June 2, 2026)</w:t>
              </w:r>
            </w:hyperlink>
          </w:p>
        </w:tc>
        <w:tc>
          <w:tcPr>
            <w:tcW w:w="400" w:type="dxa"/>
            <w:vAlign w:val="bottom"/>
          </w:tcPr>
          <w:p>
            <w:pPr>
              <w:spacing w:after="0"/>
              <w:rPr>
                <w:sz w:val="16"/>
                <w:szCs w:val="16"/>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54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Opinion of Squire Patton Boggs</w:t>
            </w:r>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4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Squire Patton Boggs (included in Exhibit 5.1 hereto)</w:t>
            </w:r>
          </w:p>
        </w:tc>
        <w:tc>
          <w:tcPr>
            <w:tcW w:w="5480" w:type="dxa"/>
            <w:vAlign w:val="bottom"/>
            <w:gridSpan w:val="4"/>
          </w:tcPr>
          <w:p>
            <w:pPr>
              <w:spacing w:after="0"/>
              <w:rPr>
                <w:sz w:val="24"/>
                <w:szCs w:val="24"/>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540" w:type="dxa"/>
            <w:vAlign w:val="bottom"/>
          </w:tcPr>
          <w:p>
            <w:pPr>
              <w:spacing w:after="0"/>
              <w:rPr>
                <w:sz w:val="24"/>
                <w:szCs w:val="24"/>
                <w:color w:val="auto"/>
              </w:rPr>
            </w:pPr>
          </w:p>
        </w:tc>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Grant Thornton LLP</w:t>
            </w:r>
          </w:p>
        </w:tc>
        <w:tc>
          <w:tcPr>
            <w:tcW w:w="7720" w:type="dxa"/>
            <w:vAlign w:val="bottom"/>
            <w:gridSpan w:val="6"/>
          </w:tcPr>
          <w:p>
            <w:pPr>
              <w:spacing w:after="0"/>
              <w:rPr>
                <w:sz w:val="24"/>
                <w:szCs w:val="24"/>
                <w:color w:val="auto"/>
              </w:rPr>
            </w:pPr>
          </w:p>
        </w:tc>
      </w:tr>
      <w:tr>
        <w:trPr>
          <w:trHeight w:val="407"/>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24.0</w:t>
            </w:r>
          </w:p>
        </w:tc>
        <w:tc>
          <w:tcPr>
            <w:tcW w:w="540" w:type="dxa"/>
            <w:vAlign w:val="bottom"/>
          </w:tcPr>
          <w:p>
            <w:pPr>
              <w:spacing w:after="0"/>
              <w:rPr>
                <w:sz w:val="24"/>
                <w:szCs w:val="24"/>
                <w:color w:val="auto"/>
              </w:rPr>
            </w:pPr>
          </w:p>
        </w:tc>
        <w:tc>
          <w:tcPr>
            <w:tcW w:w="2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(see signature page)</w:t>
            </w:r>
          </w:p>
        </w:tc>
        <w:tc>
          <w:tcPr>
            <w:tcW w:w="7260" w:type="dxa"/>
            <w:vAlign w:val="bottom"/>
            <w:gridSpan w:val="5"/>
          </w:tcPr>
          <w:p>
            <w:pPr>
              <w:spacing w:after="0"/>
              <w:rPr>
                <w:sz w:val="24"/>
                <w:szCs w:val="24"/>
                <w:color w:val="auto"/>
              </w:rPr>
            </w:pPr>
          </w:p>
        </w:tc>
      </w:tr>
    </w:tbl>
    <w:p>
      <w:pPr>
        <w:spacing w:after="0" w:line="222" w:lineRule="exact"/>
        <w:rPr>
          <w:sz w:val="20"/>
          <w:szCs w:val="20"/>
          <w:color w:val="auto"/>
        </w:rPr>
      </w:pPr>
    </w:p>
    <w:p>
      <w:pPr>
        <w:ind w:left="1180" w:hanging="986"/>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4" w:lineRule="exact"/>
        <w:rPr>
          <w:sz w:val="20"/>
          <w:szCs w:val="20"/>
          <w:color w:val="auto"/>
        </w:rPr>
      </w:pPr>
    </w:p>
    <w:p>
      <w:pPr>
        <w:ind w:left="640" w:hanging="63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sz w:val="20"/>
          <w:szCs w:val="20"/>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640" w:firstLine="8"/>
        <w:spacing w:after="0" w:line="271" w:lineRule="auto"/>
        <w:tabs>
          <w:tab w:leader="none" w:pos="119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171" w:lineRule="exact"/>
        <w:rPr>
          <w:rFonts w:ascii="Times New Roman" w:cs="Times New Roman" w:eastAsia="Times New Roman" w:hAnsi="Times New Roman"/>
          <w:sz w:val="17"/>
          <w:szCs w:val="17"/>
          <w:color w:val="auto"/>
        </w:rPr>
      </w:pPr>
    </w:p>
    <w:p>
      <w:pPr>
        <w:ind w:left="640" w:firstLine="8"/>
        <w:spacing w:after="0" w:line="277" w:lineRule="auto"/>
        <w:tabs>
          <w:tab w:leader="none" w:pos="13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and (ii) above do not apply if the information required to be included in a post-effective amendment by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subparagraphs is contained in reports filed with or furnished to the SEC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firstLine="7"/>
        <w:spacing w:after="0" w:line="262" w:lineRule="auto"/>
        <w:tabs>
          <w:tab w:leader="none" w:pos="7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firstLine="7"/>
        <w:spacing w:after="0" w:line="277" w:lineRule="auto"/>
        <w:tabs>
          <w:tab w:leader="none" w:pos="6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firstLine="7"/>
        <w:spacing w:after="0" w:line="257" w:lineRule="auto"/>
        <w:tabs>
          <w:tab w:leader="none" w:pos="6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firstLine="7"/>
        <w:spacing w:after="0" w:line="25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Reston, State of Virginia, on June 22,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ICF INTERNATIONAL,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3810</wp:posOffset>
            </wp:positionV>
            <wp:extent cx="21628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428"/>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Wasson, his or her true and lawful attorney-in-fact, with full power of substitution and resubstitution, for him or her and in his or her name, place or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7" w:lineRule="exact"/>
        <w:rPr>
          <w:sz w:val="20"/>
          <w:szCs w:val="20"/>
          <w:color w:val="auto"/>
        </w:rPr>
      </w:pPr>
    </w:p>
    <w:p>
      <w:pPr>
        <w:jc w:val="both"/>
        <w:ind w:firstLine="428"/>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behalf of the registrant on June 22, 2026, and in the capacities indicated.</w:t>
      </w:r>
    </w:p>
    <w:p>
      <w:pPr>
        <w:sectPr>
          <w:pgSz w:w="11900" w:h="16838" w:orient="portrait"/>
          <w:cols w:equalWidth="0" w:num="1">
            <w:col w:w="11240"/>
          </w:cols>
          <w:pgMar w:left="320" w:top="571" w:right="339" w:bottom="1440" w:gutter="0" w:footer="0" w:header="0"/>
        </w:sectPr>
      </w:pP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8587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 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2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James C.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James C. Morgan</w:t>
      </w:r>
    </w:p>
    <w:p>
      <w:pPr>
        <w:spacing w:after="0" w:line="2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Ranjit Chadha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Ranjit Chadha</w:t>
      </w: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 Caroline Angoorly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Caroline Angoorly</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Marilyn Crouther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Marilyn Crouther</w:t>
      </w:r>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 Srikant M. Datar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Srikant M. Datar</w:t>
      </w: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 Randall Mehl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Randall Mehl</w:t>
      </w: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87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Scott Salmirs</w:t>
      </w: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 Michael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8587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Michael Van Handel</w:t>
      </w:r>
    </w:p>
    <w:p>
      <w:pPr>
        <w:spacing w:after="0" w:line="215"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7"/>
          <w:szCs w:val="17"/>
          <w:color w:val="auto"/>
        </w:rPr>
        <w:t>/s/ Michelle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8587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17"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Michelle A. Williams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3774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444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and Financial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Controller (Principal Accounting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4580" w:space="720"/>
            <w:col w:w="5940"/>
          </w:cols>
          <w:pgMar w:left="320" w:top="571"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Squire Patton Boggs (US) LLP</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1000 Key Tower 127 Public Square</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202" w:lineRule="exact"/>
        <w:rPr>
          <w:sz w:val="20"/>
          <w:szCs w:val="20"/>
          <w:color w:val="auto"/>
        </w:rPr>
      </w:pPr>
    </w:p>
    <w:p>
      <w:pPr>
        <w:ind w:left="6760"/>
        <w:spacing w:after="0"/>
        <w:tabs>
          <w:tab w:leader="none" w:pos="70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7"/>
          <w:szCs w:val="17"/>
          <w:color w:val="auto"/>
        </w:rPr>
        <w:t>+1 216 479 8500</w:t>
      </w:r>
    </w:p>
    <w:p>
      <w:pPr>
        <w:spacing w:after="0" w:line="26" w:lineRule="exact"/>
        <w:rPr>
          <w:sz w:val="20"/>
          <w:szCs w:val="20"/>
          <w:color w:val="auto"/>
        </w:rPr>
      </w:pPr>
    </w:p>
    <w:p>
      <w:pPr>
        <w:ind w:left="6760"/>
        <w:spacing w:after="0"/>
        <w:tabs>
          <w:tab w:leader="none" w:pos="70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+1 216 479 8780</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squirepattonboggs.com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272540" cy="424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254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ICF International,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1902 Reston Metro Plaza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Reston, Virginia 20190</w:t>
      </w:r>
    </w:p>
    <w:p>
      <w:pPr>
        <w:spacing w:after="0" w:line="19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8"/>
          <w:szCs w:val="18"/>
          <w:color w:val="auto"/>
        </w:rPr>
        <w:t>We have acted as counsel to ICF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registration of 1,321,000 shares of the Company’s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authorized for issuance pursuant to the ICF International, Inc. 2026 Omnibus Incentive Plan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481"/>
        <w:spacing w:after="0" w:line="255" w:lineRule="auto"/>
        <w:rPr>
          <w:sz w:val="20"/>
          <w:szCs w:val="20"/>
          <w:color w:val="auto"/>
        </w:rPr>
      </w:pPr>
      <w:r>
        <w:rPr>
          <w:rFonts w:ascii="Times New Roman" w:cs="Times New Roman" w:eastAsia="Times New Roman" w:hAnsi="Times New Roman"/>
          <w:sz w:val="18"/>
          <w:szCs w:val="18"/>
          <w:color w:val="auto"/>
        </w:rPr>
        <w:t>As such counsel and for purposes of our opinion set forth below, we have examined originals or copies, certified or otherwise identified to our satisfaction, of the Incentive Plan and other such documents, resolutions, certificates, and instruments of the Company and corporate records furnished to us by the Company, certificates of public officials, statutes, records, and such other instruments and documents as we have deemed necessary or appropriate as a basis for the opinion set forth below. In addition to the foregoing, we have made such investigations of law and fact as we have deemed necessary or appropriate as a basis for the opinion set forth herein.</w:t>
      </w:r>
    </w:p>
    <w:p>
      <w:pPr>
        <w:spacing w:after="0" w:line="183" w:lineRule="exact"/>
        <w:rPr>
          <w:sz w:val="20"/>
          <w:szCs w:val="20"/>
          <w:color w:val="auto"/>
        </w:rPr>
      </w:pPr>
    </w:p>
    <w:p>
      <w:pPr>
        <w:jc w:val="both"/>
        <w:ind w:firstLine="481"/>
        <w:spacing w:after="0" w:line="250" w:lineRule="auto"/>
        <w:rPr>
          <w:sz w:val="20"/>
          <w:szCs w:val="20"/>
          <w:color w:val="auto"/>
        </w:rPr>
      </w:pPr>
      <w:r>
        <w:rPr>
          <w:rFonts w:ascii="Times New Roman" w:cs="Times New Roman" w:eastAsia="Times New Roman" w:hAnsi="Times New Roman"/>
          <w:sz w:val="18"/>
          <w:szCs w:val="18"/>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agreements, instruments, certificates, and other documents by all parties thereto (other than the Company), (vi) that the statements contained in the certificates and comparable documents of public officials, officers, and representatives of the Company and other persons on which we have relied for the purposes of this opinion set forth below are true and correct, (vii) that the officers and directors of the Company have properly exercised their fiduciary duties, and (viii) that the consideration received by the Company for each Share will be in an amount not less than the par value of such Share. As to all questions of fact material to the opinion and as to the materiality of any fact or other matter referred to herein, we have relied (without independent investigation) upon representations and certificates or comparable documents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353695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ICF International,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Squire Patton Boggs (US) LLP</w:t>
      </w:r>
    </w:p>
    <w:p>
      <w:pPr>
        <w:spacing w:after="0" w:line="657" w:lineRule="exact"/>
        <w:rPr>
          <w:sz w:val="20"/>
          <w:szCs w:val="20"/>
          <w:color w:val="auto"/>
        </w:rPr>
      </w:pPr>
    </w:p>
    <w:p>
      <w:pPr>
        <w:sectPr>
          <w:pgSz w:w="11900" w:h="16838" w:orient="portrait"/>
          <w:cols w:equalWidth="0" w:num="2">
            <w:col w:w="8300" w:space="720"/>
            <w:col w:w="2220"/>
          </w:cols>
          <w:pgMar w:left="320" w:top="575" w:right="339" w:bottom="1440" w:gutter="0" w:footer="0" w:header="0"/>
        </w:sectPr>
      </w:pPr>
    </w:p>
    <w:p>
      <w:pPr>
        <w:spacing w:after="0" w:line="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limitations, qualifications, and exceptions set forth herein, we are of the opinion that the Shares pursuant to the Incentive Plan have been duly authorized by the Company and, when issued or sold in accordance with the Registration Statement and in accordance with the Incentive Plan, will be validly issued, fully paid, and nonassessable.</w:t>
      </w:r>
    </w:p>
    <w:p>
      <w:pPr>
        <w:spacing w:after="0" w:line="177"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Without limiting any of the other limitations, exceptions, and qualifications stated elsewhere herein, we express no opinion with regard to the applicability or effect of the law of any jurisdiction other than, as in effect as of the date of this letter, the Delaware General Corporation Law, the applicable provisions of the Delaware Constitution, and reported judicial decisions interpreting these laws.</w:t>
      </w:r>
    </w:p>
    <w:p>
      <w:pPr>
        <w:spacing w:after="0" w:line="177" w:lineRule="exact"/>
        <w:rPr>
          <w:sz w:val="20"/>
          <w:szCs w:val="20"/>
          <w:color w:val="auto"/>
        </w:rPr>
      </w:pPr>
    </w:p>
    <w:p>
      <w:pPr>
        <w:jc w:val="both"/>
        <w:ind w:firstLine="481"/>
        <w:spacing w:after="0" w:line="257" w:lineRule="auto"/>
        <w:rPr>
          <w:sz w:val="20"/>
          <w:szCs w:val="20"/>
          <w:color w:val="auto"/>
        </w:rPr>
      </w:pPr>
      <w:r>
        <w:rPr>
          <w:rFonts w:ascii="Times New Roman" w:cs="Times New Roman" w:eastAsia="Times New Roman" w:hAnsi="Times New Roman"/>
          <w:sz w:val="18"/>
          <w:szCs w:val="18"/>
          <w:color w:val="auto"/>
        </w:rPr>
        <w:t>This opinion letter deals only with the specified legal issues expressly addressed herein, and you should not infer any opinion that is not explicitly stated herein from any matter addressed in this opinion letter. This opinion is given as of the effective date of the Registration Statement, and we assume no obligation to update or supplement the opinions contained herein to reflect any facts or circumstances which may hereafter come to our attention or any changes in laws which may hereafter occur.</w:t>
      </w:r>
    </w:p>
    <w:p>
      <w:pPr>
        <w:spacing w:after="0" w:line="182" w:lineRule="exact"/>
        <w:rPr>
          <w:sz w:val="20"/>
          <w:szCs w:val="20"/>
          <w:color w:val="auto"/>
        </w:rPr>
      </w:pPr>
    </w:p>
    <w:p>
      <w:pPr>
        <w:jc w:val="both"/>
        <w:ind w:firstLine="481"/>
        <w:spacing w:after="0" w:line="262" w:lineRule="auto"/>
        <w:rPr>
          <w:sz w:val="20"/>
          <w:szCs w:val="20"/>
          <w:color w:val="auto"/>
        </w:rPr>
      </w:pPr>
      <w:r>
        <w:rPr>
          <w:rFonts w:ascii="Times New Roman" w:cs="Times New Roman" w:eastAsia="Times New Roman" w:hAnsi="Times New Roman"/>
          <w:sz w:val="18"/>
          <w:szCs w:val="18"/>
          <w:color w:val="auto"/>
        </w:rPr>
        <w:t>We consent to the filing of this opinion letter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SQUIRE PATTON BOGGS (US) LLP</w:t>
      </w:r>
    </w:p>
    <w:p>
      <w:pPr>
        <w:sectPr>
          <w:pgSz w:w="11900" w:h="16838" w:orient="portrait"/>
          <w:cols w:equalWidth="0" w:num="1">
            <w:col w:w="11240"/>
          </w:cols>
          <w:pgMar w:left="320" w:top="575" w:right="33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February 27, 2026, with respect to the consolidated financial statements and internal control over financial reporting of ICF International, Inc. included in the Annual Report on Form 10-K for the year ended December 31, 2025, which are incorporated by reference in this Registration Statement. We consent to the incorporation by reference of the aforementioned reports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2256155" cy="441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2256155"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Virginia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ectPr>
          <w:pgSz w:w="11900" w:h="16838" w:orient="portrait"/>
          <w:cols w:equalWidth="0" w:num="1">
            <w:col w:w="11240"/>
          </w:cols>
          <w:pgMar w:left="320" w:top="117" w:right="339" w:bottom="1440" w:gutter="0" w:footer="0" w:header="0"/>
        </w:sectPr>
      </w:pPr>
    </w:p>
    <w:bookmarkStart w:id="11" w:name="page12"/>
    <w:bookmarkEnd w:id="1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ICF International,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ind w:left="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60" w:type="dxa"/>
            <w:vAlign w:val="bottom"/>
            <w:vMerge w:val="restart"/>
            <w:shd w:val="clear" w:color="auto" w:fill="9ADAF6"/>
          </w:tcPr>
          <w:p>
            <w:pPr>
              <w:ind w:left="20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4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ind w:left="22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3"/>
                <w:szCs w:val="23"/>
                <w:color w:val="auto"/>
              </w:rPr>
            </w:pPr>
          </w:p>
        </w:tc>
        <w:tc>
          <w:tcPr>
            <w:tcW w:w="1260" w:type="dxa"/>
            <w:vAlign w:val="bottom"/>
            <w:shd w:val="clear" w:color="auto" w:fill="9ADAF6"/>
          </w:tcPr>
          <w:p>
            <w:pPr>
              <w:ind w:left="100"/>
              <w:spacing w:after="0"/>
              <w:rPr>
                <w:sz w:val="20"/>
                <w:szCs w:val="20"/>
                <w:color w:val="auto"/>
              </w:rPr>
            </w:pPr>
            <w:r>
              <w:rPr>
                <w:rFonts w:ascii="Arial" w:cs="Arial" w:eastAsia="Arial" w:hAnsi="Arial"/>
                <w:sz w:val="21"/>
                <w:szCs w:val="21"/>
                <w:b w:val="1"/>
                <w:bCs w:val="1"/>
                <w:color w:val="auto"/>
              </w:rPr>
              <w:t>Class 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4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$0.001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reserved for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issuance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2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under the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1,321,000</w:t>
            </w:r>
          </w:p>
        </w:tc>
        <w:tc>
          <w:tcPr>
            <w:tcW w:w="40" w:type="dxa"/>
            <w:vAlign w:val="bottom"/>
          </w:tcPr>
          <w:p>
            <w:pPr>
              <w:spacing w:after="0"/>
              <w:rPr>
                <w:sz w:val="10"/>
                <w:szCs w:val="10"/>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$ 72.14</w:t>
            </w:r>
          </w:p>
        </w:tc>
        <w:tc>
          <w:tcPr>
            <w:tcW w:w="20" w:type="dxa"/>
            <w:vAlign w:val="bottom"/>
          </w:tcPr>
          <w:p>
            <w:pPr>
              <w:spacing w:after="0"/>
              <w:rPr>
                <w:sz w:val="10"/>
                <w:szCs w:val="10"/>
                <w:color w:val="auto"/>
              </w:rPr>
            </w:pPr>
          </w:p>
        </w:tc>
        <w:tc>
          <w:tcPr>
            <w:tcW w:w="14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$ 13,160.51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95,296,940.00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ICF</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International,</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 2026</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Omnibus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21"/>
                <w:szCs w:val="21"/>
                <w:color w:val="auto"/>
              </w:rPr>
              <w:t>$ 13,160.51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95,296,940.00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21"/>
                <w:szCs w:val="21"/>
                <w:color w:val="auto"/>
              </w:rPr>
              <w:t>$ 13,160.51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00" w:firstLine="2"/>
        <w:spacing w:after="0" w:line="243" w:lineRule="auto"/>
        <w:tabs>
          <w:tab w:leader="none" w:pos="1121"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This Registration Statement on Form S-8 (this "Registration Statement") registers the issuance of 1,321,000 shares of common stock, par value $0.001 per share (the "Common Stock") of ICF International, Inc. ("ICF" or the "Registrant"), which may be issued pursuant to the terms and conditions of the ICF International, Inc. 2026 Omnibus Incentive Plan (the "2026 Plan"). Pursuant to Rule 416(a) under the Securities Act of 1933, as amended (the "Securities Act"), this Registration Statement also includes an indeterminable number of shares of ICF's Common Stock that become issuable under the 2026 Plan by reason of any stock dividend, stock split, recapitalization, or other similar transaction effected without receipt of consideration that increases the number of outstanding shares of the Registrant's Common Stock.</w:t>
      </w:r>
    </w:p>
    <w:p>
      <w:pPr>
        <w:spacing w:after="0" w:line="203" w:lineRule="exact"/>
        <w:rPr>
          <w:rFonts w:ascii="Arial" w:cs="Arial" w:eastAsia="Arial" w:hAnsi="Arial"/>
          <w:sz w:val="21"/>
          <w:szCs w:val="21"/>
          <w:color w:val="auto"/>
        </w:rPr>
      </w:pPr>
    </w:p>
    <w:p>
      <w:pPr>
        <w:jc w:val="both"/>
        <w:ind w:left="800" w:right="880" w:firstLine="2"/>
        <w:spacing w:after="0" w:line="258" w:lineRule="auto"/>
        <w:tabs>
          <w:tab w:leader="none" w:pos="1121"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Computed in accordance with Securities Act Rule 457(c) and 457(h), based on the average of the high and low prices of the Registrant's Common Stock on June 15,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0" w:gutter="0" w:footer="0" w:header="0"/>
          <w:type w:val="continuous"/>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3"/>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lvl w:ilvl="1">
      <w:lvlJc w:val="left"/>
      <w:lvlText w:val="(%2)"/>
      <w:numFmt w:val="decimal"/>
      <w:start w:val="2"/>
    </w:lvl>
  </w:abstractNum>
  <w:abstractNum w:abstractNumId="4">
    <w:nsid w:val="7545E146"/>
    <w:multiLevelType w:val="hybridMultilevel"/>
    <w:lvl w:ilvl="0">
      <w:lvlJc w:val="left"/>
      <w:lvlText w:val="(%1)"/>
      <w:numFmt w:val="lowerLetter"/>
      <w:start w:val="8"/>
    </w:lvl>
  </w:abstractNum>
  <w:abstractNum w:abstractNumId="5">
    <w:nsid w:val="515F007C"/>
    <w:multiLevelType w:val="hybridMultilevel"/>
    <w:lvl w:ilvl="0">
      <w:lvlJc w:val="left"/>
      <w:lvlText w:val="%1"/>
      <w:numFmt w:val="decimal"/>
      <w:start w:val="107"/>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Roman"/>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jpeg"/><Relationship Id="rId48" Type="http://schemas.openxmlformats.org/officeDocument/2006/relationships/image" Target="media/image31.png"/><Relationship Id="rId49" Type="http://schemas.openxmlformats.org/officeDocument/2006/relationships/image" Target="media/image32.jpeg"/><Relationship Id="rId50" Type="http://schemas.openxmlformats.org/officeDocument/2006/relationships/image" Target="media/image33.png"/><Relationship Id="rId51" Type="http://schemas.openxmlformats.org/officeDocument/2006/relationships/image" Target="media/image34.png"/><Relationship Id="rId18" Type="http://schemas.openxmlformats.org/officeDocument/2006/relationships/hyperlink" Target="http://www.sec.gov/ix?doc=/Archives/edgar/data/1362004/000119312526082536/icfi-20251231.htm" TargetMode="External"/><Relationship Id="rId19" Type="http://schemas.openxmlformats.org/officeDocument/2006/relationships/hyperlink" Target="http://www.sec.gov/ix?doc=/Archives/edgar/data/1362004/000119312526212358/icfi-20260331.htm" TargetMode="External"/><Relationship Id="rId20" Type="http://schemas.openxmlformats.org/officeDocument/2006/relationships/hyperlink" Target="http://www.sec.gov/ix?doc=/Archives/edgar/data/1362004/000119312526211897/icfi-20260507.htm" TargetMode="External"/><Relationship Id="rId21" Type="http://schemas.openxmlformats.org/officeDocument/2006/relationships/hyperlink" Target="http://www.sec.gov/ix?doc=/Archives/edgar/data/1362004/000143774926019740/icfi20260604_8k.htm" TargetMode="External"/><Relationship Id="rId22" Type="http://schemas.openxmlformats.org/officeDocument/2006/relationships/hyperlink" Target="http://www.sec.gov/Archives/edgar/data/1362004/000156459022006889/icfi-ex43_7.htm" TargetMode="External"/><Relationship Id="rId26" Type="http://schemas.openxmlformats.org/officeDocument/2006/relationships/hyperlink" Target="http://www.sec.gov/Archives/edgar/data/1362004/000119312506189202/dex41.htm" TargetMode="External"/><Relationship Id="rId27" Type="http://schemas.openxmlformats.org/officeDocument/2006/relationships/hyperlink" Target="http://www.sec.gov/Archives/edgar/data/1362004/000143774917013604/ex3-1.htm" TargetMode="External"/><Relationship Id="rId28" Type="http://schemas.openxmlformats.org/officeDocument/2006/relationships/hyperlink" Target="http://www.sec.gov/Archives/edgar/data/1362004/000143774917010547/ex3-1.htm" TargetMode="External"/><Relationship Id="rId29" Type="http://schemas.openxmlformats.org/officeDocument/2006/relationships/hyperlink" Target="http://www.sec.gov/Archives/edgar/data/1362004/000119312506109194/dex42.htm" TargetMode="External"/><Relationship Id="rId30" Type="http://schemas.openxmlformats.org/officeDocument/2006/relationships/hyperlink" Target="http://www.sec.gov/Archives/edgar/data/1362004/000114036126016102/ny20066983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2026-06-22T16:21:37Z</dcterms:created>
  <dcterms:modified xsi:type="dcterms:W3CDTF">2026-06-22T16:21:37Z</dcterms:modified>
</cp:coreProperties>
</file>