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October 5, 2013</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ICF International,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1"/>
              </w:rPr>
              <w:t>Delaware</w:t>
            </w:r>
          </w:p>
        </w:tc>
        <w:tc>
          <w:tcPr>
            <w:tcW w:w="328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001-33045</w:t>
            </w:r>
          </w:p>
        </w:tc>
        <w:tc>
          <w:tcPr>
            <w:tcW w:w="40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1"/>
              </w:rPr>
              <w:t>22-3661438</w:t>
            </w:r>
          </w:p>
        </w:tc>
      </w:tr>
      <w:tr>
        <w:trPr>
          <w:trHeight w:val="224"/>
        </w:trPr>
        <w:tc>
          <w:tcPr>
            <w:tcW w:w="4100" w:type="dxa"/>
            <w:vAlign w:val="bottom"/>
          </w:tcPr>
          <w:p>
            <w:pPr>
              <w:jc w:val="center"/>
              <w:ind w:right="190"/>
              <w:spacing w:after="0"/>
              <w:rPr>
                <w:sz w:val="20"/>
                <w:szCs w:val="20"/>
                <w:color w:val="auto"/>
              </w:rPr>
            </w:pPr>
            <w:r>
              <w:rPr>
                <w:rFonts w:ascii="Arial" w:cs="Arial" w:eastAsia="Arial" w:hAnsi="Arial"/>
                <w:sz w:val="18"/>
                <w:szCs w:val="18"/>
                <w:color w:val="auto"/>
                <w:w w:val="93"/>
              </w:rPr>
              <w:t>(State or other jurisdiction of Incorporation)</w:t>
            </w:r>
          </w:p>
        </w:tc>
        <w:tc>
          <w:tcPr>
            <w:tcW w:w="328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4040" w:type="dxa"/>
            <w:vAlign w:val="bottom"/>
          </w:tcPr>
          <w:p>
            <w:pPr>
              <w:jc w:val="center"/>
              <w:ind w:left="130"/>
              <w:spacing w:after="0"/>
              <w:rPr>
                <w:sz w:val="20"/>
                <w:szCs w:val="20"/>
                <w:color w:val="auto"/>
              </w:rPr>
            </w:pPr>
            <w:r>
              <w:rPr>
                <w:rFonts w:ascii="Arial" w:cs="Arial" w:eastAsia="Arial" w:hAnsi="Arial"/>
                <w:sz w:val="18"/>
                <w:szCs w:val="18"/>
                <w:color w:val="auto"/>
                <w:w w:val="93"/>
              </w:rPr>
              <w:t>(I.R.S. Employer Identification Number)</w:t>
            </w:r>
          </w:p>
        </w:tc>
      </w:tr>
      <w:tr>
        <w:trPr>
          <w:trHeight w:val="418"/>
        </w:trPr>
        <w:tc>
          <w:tcPr>
            <w:tcW w:w="4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9300 Lee Highway, Fairfax, Virginia</w:t>
            </w:r>
          </w:p>
        </w:tc>
        <w:tc>
          <w:tcPr>
            <w:tcW w:w="32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7"/>
              </w:rPr>
              <w:t>22031</w:t>
            </w:r>
          </w:p>
        </w:tc>
      </w:tr>
      <w:tr>
        <w:trPr>
          <w:trHeight w:val="224"/>
        </w:trPr>
        <w:tc>
          <w:tcPr>
            <w:tcW w:w="4100" w:type="dxa"/>
            <w:vAlign w:val="bottom"/>
          </w:tcPr>
          <w:p>
            <w:pPr>
              <w:jc w:val="center"/>
              <w:ind w:right="190"/>
              <w:spacing w:after="0"/>
              <w:rPr>
                <w:sz w:val="20"/>
                <w:szCs w:val="20"/>
                <w:color w:val="auto"/>
              </w:rPr>
            </w:pPr>
            <w:r>
              <w:rPr>
                <w:rFonts w:ascii="Arial" w:cs="Arial" w:eastAsia="Arial" w:hAnsi="Arial"/>
                <w:sz w:val="18"/>
                <w:szCs w:val="18"/>
                <w:color w:val="auto"/>
                <w:w w:val="92"/>
              </w:rPr>
              <w:t>(Address of Principal Executive Offices)</w:t>
            </w:r>
          </w:p>
        </w:tc>
        <w:tc>
          <w:tcPr>
            <w:tcW w:w="3280" w:type="dxa"/>
            <w:vAlign w:val="bottom"/>
          </w:tcPr>
          <w:p>
            <w:pPr>
              <w:spacing w:after="0"/>
              <w:rPr>
                <w:sz w:val="19"/>
                <w:szCs w:val="19"/>
                <w:color w:val="auto"/>
              </w:rPr>
            </w:pPr>
          </w:p>
        </w:tc>
        <w:tc>
          <w:tcPr>
            <w:tcW w:w="4040" w:type="dxa"/>
            <w:vAlign w:val="bottom"/>
          </w:tcPr>
          <w:p>
            <w:pPr>
              <w:jc w:val="center"/>
              <w:ind w:left="150"/>
              <w:spacing w:after="0"/>
              <w:rPr>
                <w:sz w:val="20"/>
                <w:szCs w:val="20"/>
                <w:color w:val="auto"/>
              </w:rPr>
            </w:pPr>
            <w:r>
              <w:rPr>
                <w:rFonts w:ascii="Arial" w:cs="Arial" w:eastAsia="Arial" w:hAnsi="Arial"/>
                <w:sz w:val="18"/>
                <w:szCs w:val="18"/>
                <w:color w:val="auto"/>
                <w:w w:val="94"/>
              </w:rPr>
              <w:t>(Zip Code)</w:t>
            </w:r>
          </w:p>
        </w:tc>
      </w:tr>
    </w:tbl>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(703) 934-3000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left="340"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108"/>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440" w:hanging="108"/>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440" w:hanging="108"/>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40" w:hanging="108"/>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 w:name="page2"/>
    <w:bookmarkEnd w:id="1"/>
    <w:p>
      <w:pPr>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Executive Compensation Arrangements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current U.S. federal government shutdown will potentially have widespread short-term and long-term consequences for the economy, federal government operations, and certain businesses. ICF International, Inc. (the “Company”) has both government and commercial clients; and approximately sixty percent (60%) of the Company’s revenue is derived from U.S. federal government contracts. In an effort to reduce Company expenses during this period, and in a gesture of support for and solidarity with Company staff who have been directly impacted by stop-work notices, the Company’s named executive officers have agreed to reduce their annual base salaries by twenty percent (20%), as provided below. Such salary reductions will remain in effect until the Company has clarity regarding the impact of the government shutdown on federal markets and its corresponding impact on the Company. The Company’s Compensation Committee supports management’s approach and has approved the below-indicated salary reductions, which went into effect on October 5, 2013.</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2220" w:type="dxa"/>
            <w:vAlign w:val="bottom"/>
            <w:tcBorders>
              <w:top w:val="single" w:sz="8" w:color="auto"/>
              <w:left w:val="single" w:sz="8" w:color="auto"/>
              <w:right w:val="single" w:sz="8" w:color="auto"/>
            </w:tcBorders>
          </w:tcPr>
          <w:p>
            <w:pPr>
              <w:spacing w:after="0"/>
              <w:rPr>
                <w:sz w:val="23"/>
                <w:szCs w:val="23"/>
                <w:color w:val="auto"/>
              </w:rPr>
            </w:pPr>
          </w:p>
        </w:tc>
        <w:tc>
          <w:tcPr>
            <w:tcW w:w="3220" w:type="dxa"/>
            <w:vAlign w:val="bottom"/>
            <w:tcBorders>
              <w:top w:val="single" w:sz="8" w:color="auto"/>
              <w:right w:val="single" w:sz="8" w:color="auto"/>
            </w:tcBorders>
          </w:tcPr>
          <w:p>
            <w:pPr>
              <w:spacing w:after="0"/>
              <w:rPr>
                <w:sz w:val="23"/>
                <w:szCs w:val="23"/>
                <w:color w:val="auto"/>
              </w:rPr>
            </w:pPr>
          </w:p>
        </w:tc>
        <w:tc>
          <w:tcPr>
            <w:tcW w:w="1480" w:type="dxa"/>
            <w:vAlign w:val="bottom"/>
            <w:tcBorders>
              <w:top w:val="single" w:sz="8" w:color="auto"/>
              <w:right w:val="single" w:sz="8" w:color="auto"/>
            </w:tcBorders>
          </w:tcPr>
          <w:p>
            <w:pPr>
              <w:spacing w:after="0"/>
              <w:rPr>
                <w:sz w:val="23"/>
                <w:szCs w:val="23"/>
                <w:color w:val="auto"/>
              </w:rPr>
            </w:pPr>
          </w:p>
        </w:tc>
        <w:tc>
          <w:tcPr>
            <w:tcW w:w="242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Salary Reduction</w:t>
            </w:r>
          </w:p>
        </w:tc>
        <w:tc>
          <w:tcPr>
            <w:tcW w:w="208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2220" w:type="dxa"/>
            <w:vAlign w:val="bottom"/>
            <w:tcBorders>
              <w:left w:val="single" w:sz="8" w:color="auto"/>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220" w:type="dxa"/>
            <w:vAlign w:val="bottom"/>
            <w:tcBorders>
              <w:left w:val="single" w:sz="8" w:color="auto"/>
              <w:right w:val="single" w:sz="8" w:color="auto"/>
            </w:tcBorders>
          </w:tcPr>
          <w:p>
            <w:pPr>
              <w:spacing w:after="0"/>
              <w:rPr>
                <w:sz w:val="20"/>
                <w:szCs w:val="20"/>
                <w:color w:val="auto"/>
              </w:rPr>
            </w:pPr>
          </w:p>
        </w:tc>
        <w:tc>
          <w:tcPr>
            <w:tcW w:w="3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 Annual Base</w:t>
            </w:r>
          </w:p>
        </w:tc>
        <w:tc>
          <w:tcPr>
            <w:tcW w:w="80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Annual Base Salary After</w:t>
            </w:r>
          </w:p>
        </w:tc>
        <w:tc>
          <w:tcPr>
            <w:tcW w:w="0" w:type="dxa"/>
            <w:vAlign w:val="bottom"/>
          </w:tcPr>
          <w:p>
            <w:pPr>
              <w:spacing w:after="0"/>
              <w:rPr>
                <w:sz w:val="1"/>
                <w:szCs w:val="1"/>
                <w:color w:val="auto"/>
              </w:rPr>
            </w:pPr>
          </w:p>
        </w:tc>
      </w:tr>
      <w:tr>
        <w:trPr>
          <w:trHeight w:val="234"/>
        </w:trPr>
        <w:tc>
          <w:tcPr>
            <w:tcW w:w="22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Name</w:t>
            </w:r>
          </w:p>
        </w:tc>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Title</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Salary</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Temporary Reduction*</w:t>
            </w:r>
          </w:p>
        </w:tc>
        <w:tc>
          <w:tcPr>
            <w:tcW w:w="0" w:type="dxa"/>
            <w:vAlign w:val="bottom"/>
          </w:tcPr>
          <w:p>
            <w:pPr>
              <w:spacing w:after="0"/>
              <w:rPr>
                <w:sz w:val="1"/>
                <w:szCs w:val="1"/>
                <w:color w:val="auto"/>
              </w:rPr>
            </w:pPr>
          </w:p>
        </w:tc>
      </w:tr>
      <w:tr>
        <w:trPr>
          <w:trHeight w:val="41"/>
        </w:trPr>
        <w:tc>
          <w:tcPr>
            <w:tcW w:w="2220" w:type="dxa"/>
            <w:vAlign w:val="bottom"/>
            <w:tcBorders>
              <w:left w:val="single" w:sz="8" w:color="auto"/>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220" w:type="dxa"/>
            <w:vAlign w:val="bottom"/>
            <w:tcBorders>
              <w:left w:val="single" w:sz="8" w:color="auto"/>
              <w:right w:val="single" w:sz="8" w:color="auto"/>
            </w:tcBorders>
          </w:tcPr>
          <w:p>
            <w:pPr>
              <w:spacing w:after="0"/>
              <w:rPr>
                <w:sz w:val="21"/>
                <w:szCs w:val="21"/>
                <w:color w:val="auto"/>
              </w:rPr>
            </w:pPr>
          </w:p>
        </w:tc>
        <w:tc>
          <w:tcPr>
            <w:tcW w:w="322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80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(b)</w:t>
            </w:r>
          </w:p>
        </w:tc>
        <w:tc>
          <w:tcPr>
            <w:tcW w:w="162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(c)</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 – (c)</w:t>
            </w:r>
          </w:p>
        </w:tc>
        <w:tc>
          <w:tcPr>
            <w:tcW w:w="0" w:type="dxa"/>
            <w:vAlign w:val="bottom"/>
          </w:tcPr>
          <w:p>
            <w:pPr>
              <w:spacing w:after="0"/>
              <w:rPr>
                <w:sz w:val="1"/>
                <w:szCs w:val="1"/>
                <w:color w:val="auto"/>
              </w:rPr>
            </w:pPr>
          </w:p>
        </w:tc>
      </w:tr>
      <w:tr>
        <w:trPr>
          <w:trHeight w:val="41"/>
        </w:trPr>
        <w:tc>
          <w:tcPr>
            <w:tcW w:w="2220" w:type="dxa"/>
            <w:vAlign w:val="bottom"/>
            <w:tcBorders>
              <w:left w:val="single" w:sz="8" w:color="auto"/>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2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Sudhakar Kesavan</w:t>
            </w:r>
          </w:p>
        </w:tc>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Chairman and Chief Executive Officer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$792,563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20%</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$158,496</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$634,067</w:t>
            </w:r>
          </w:p>
        </w:tc>
        <w:tc>
          <w:tcPr>
            <w:tcW w:w="0" w:type="dxa"/>
            <w:vAlign w:val="bottom"/>
          </w:tcPr>
          <w:p>
            <w:pPr>
              <w:spacing w:after="0"/>
              <w:rPr>
                <w:sz w:val="1"/>
                <w:szCs w:val="1"/>
                <w:color w:val="auto"/>
              </w:rPr>
            </w:pPr>
          </w:p>
        </w:tc>
      </w:tr>
      <w:tr>
        <w:trPr>
          <w:trHeight w:val="41"/>
        </w:trPr>
        <w:tc>
          <w:tcPr>
            <w:tcW w:w="2220" w:type="dxa"/>
            <w:vAlign w:val="bottom"/>
            <w:tcBorders>
              <w:left w:val="single" w:sz="8" w:color="auto"/>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2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John Wasson</w:t>
            </w:r>
          </w:p>
        </w:tc>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President and Chief Operating Officer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$583,877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20%</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$116,772</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$467,105</w:t>
            </w:r>
          </w:p>
        </w:tc>
        <w:tc>
          <w:tcPr>
            <w:tcW w:w="0" w:type="dxa"/>
            <w:vAlign w:val="bottom"/>
          </w:tcPr>
          <w:p>
            <w:pPr>
              <w:spacing w:after="0"/>
              <w:rPr>
                <w:sz w:val="1"/>
                <w:szCs w:val="1"/>
                <w:color w:val="auto"/>
              </w:rPr>
            </w:pPr>
          </w:p>
        </w:tc>
      </w:tr>
      <w:tr>
        <w:trPr>
          <w:trHeight w:val="41"/>
        </w:trPr>
        <w:tc>
          <w:tcPr>
            <w:tcW w:w="2220" w:type="dxa"/>
            <w:vAlign w:val="bottom"/>
            <w:tcBorders>
              <w:left w:val="single" w:sz="8" w:color="auto"/>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2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James Morgan</w:t>
            </w:r>
          </w:p>
        </w:tc>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Executive Vice President and Chief</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$459,014</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20%</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$91,790</w:t>
            </w: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$367,224</w:t>
            </w:r>
          </w:p>
        </w:tc>
        <w:tc>
          <w:tcPr>
            <w:tcW w:w="0" w:type="dxa"/>
            <w:vAlign w:val="bottom"/>
          </w:tcPr>
          <w:p>
            <w:pPr>
              <w:spacing w:after="0"/>
              <w:rPr>
                <w:sz w:val="1"/>
                <w:szCs w:val="1"/>
                <w:color w:val="auto"/>
              </w:rPr>
            </w:pPr>
          </w:p>
        </w:tc>
      </w:tr>
      <w:tr>
        <w:trPr>
          <w:trHeight w:val="122"/>
        </w:trPr>
        <w:tc>
          <w:tcPr>
            <w:tcW w:w="2220" w:type="dxa"/>
            <w:vAlign w:val="bottom"/>
            <w:tcBorders>
              <w:left w:val="single" w:sz="8" w:color="auto"/>
              <w:right w:val="single" w:sz="8" w:color="auto"/>
            </w:tcBorders>
          </w:tcPr>
          <w:p>
            <w:pPr>
              <w:spacing w:after="0"/>
              <w:rPr>
                <w:sz w:val="10"/>
                <w:szCs w:val="10"/>
                <w:color w:val="auto"/>
              </w:rPr>
            </w:pPr>
          </w:p>
        </w:tc>
        <w:tc>
          <w:tcPr>
            <w:tcW w:w="3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Financial Officer</w:t>
            </w:r>
          </w:p>
        </w:tc>
        <w:tc>
          <w:tcPr>
            <w:tcW w:w="1480" w:type="dxa"/>
            <w:vAlign w:val="bottom"/>
            <w:tcBorders>
              <w:right w:val="single" w:sz="8" w:color="auto"/>
            </w:tcBorders>
            <w:vMerge w:val="continue"/>
          </w:tcPr>
          <w:p>
            <w:pPr>
              <w:spacing w:after="0"/>
              <w:rPr>
                <w:sz w:val="10"/>
                <w:szCs w:val="10"/>
                <w:color w:val="auto"/>
              </w:rPr>
            </w:pPr>
          </w:p>
        </w:tc>
        <w:tc>
          <w:tcPr>
            <w:tcW w:w="800" w:type="dxa"/>
            <w:vAlign w:val="bottom"/>
            <w:tcBorders>
              <w:right w:val="single" w:sz="8" w:color="auto"/>
            </w:tcBorders>
            <w:vMerge w:val="continue"/>
          </w:tcPr>
          <w:p>
            <w:pPr>
              <w:spacing w:after="0"/>
              <w:rPr>
                <w:sz w:val="10"/>
                <w:szCs w:val="10"/>
                <w:color w:val="auto"/>
              </w:rPr>
            </w:pPr>
          </w:p>
        </w:tc>
        <w:tc>
          <w:tcPr>
            <w:tcW w:w="1620" w:type="dxa"/>
            <w:vAlign w:val="bottom"/>
            <w:tcBorders>
              <w:right w:val="single" w:sz="8" w:color="auto"/>
            </w:tcBorders>
            <w:vMerge w:val="continue"/>
          </w:tcPr>
          <w:p>
            <w:pPr>
              <w:spacing w:after="0"/>
              <w:rPr>
                <w:sz w:val="10"/>
                <w:szCs w:val="10"/>
                <w:color w:val="auto"/>
              </w:rPr>
            </w:pPr>
          </w:p>
        </w:tc>
        <w:tc>
          <w:tcPr>
            <w:tcW w:w="20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Borders>
              <w:left w:val="single" w:sz="8" w:color="auto"/>
              <w:right w:val="single" w:sz="8" w:color="auto"/>
            </w:tcBorders>
          </w:tcPr>
          <w:p>
            <w:pPr>
              <w:spacing w:after="0"/>
              <w:rPr>
                <w:sz w:val="9"/>
                <w:szCs w:val="9"/>
                <w:color w:val="auto"/>
              </w:rPr>
            </w:pPr>
          </w:p>
        </w:tc>
        <w:tc>
          <w:tcPr>
            <w:tcW w:w="322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220" w:type="dxa"/>
            <w:vAlign w:val="bottom"/>
            <w:tcBorders>
              <w:left w:val="single" w:sz="8" w:color="auto"/>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2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Ellen Glover</w:t>
            </w:r>
          </w:p>
        </w:tc>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Executive Vice President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$351,853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20%</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$70,367</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$281,486</w:t>
            </w:r>
          </w:p>
        </w:tc>
        <w:tc>
          <w:tcPr>
            <w:tcW w:w="0" w:type="dxa"/>
            <w:vAlign w:val="bottom"/>
          </w:tcPr>
          <w:p>
            <w:pPr>
              <w:spacing w:after="0"/>
              <w:rPr>
                <w:sz w:val="1"/>
                <w:szCs w:val="1"/>
                <w:color w:val="auto"/>
              </w:rPr>
            </w:pPr>
          </w:p>
        </w:tc>
      </w:tr>
      <w:tr>
        <w:trPr>
          <w:trHeight w:val="41"/>
        </w:trPr>
        <w:tc>
          <w:tcPr>
            <w:tcW w:w="2220" w:type="dxa"/>
            <w:vAlign w:val="bottom"/>
            <w:tcBorders>
              <w:left w:val="single" w:sz="8" w:color="auto"/>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2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Isabel Reiff</w:t>
            </w:r>
          </w:p>
        </w:tc>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Executive Vice President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$320,819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20%</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$64,147</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$256,672</w:t>
            </w:r>
          </w:p>
        </w:tc>
        <w:tc>
          <w:tcPr>
            <w:tcW w:w="0" w:type="dxa"/>
            <w:vAlign w:val="bottom"/>
          </w:tcPr>
          <w:p>
            <w:pPr>
              <w:spacing w:after="0"/>
              <w:rPr>
                <w:sz w:val="1"/>
                <w:szCs w:val="1"/>
                <w:color w:val="auto"/>
              </w:rPr>
            </w:pPr>
          </w:p>
        </w:tc>
      </w:tr>
      <w:tr>
        <w:trPr>
          <w:trHeight w:val="37"/>
        </w:trPr>
        <w:tc>
          <w:tcPr>
            <w:tcW w:w="2220" w:type="dxa"/>
            <w:vAlign w:val="bottom"/>
            <w:tcBorders>
              <w:left w:val="single" w:sz="8" w:color="auto"/>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 Numbers are rounded pursuant to internal payroll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ICF International, Inc.</w:t>
      </w:r>
    </w:p>
    <w:p>
      <w:pPr>
        <w:spacing w:after="0" w:line="200" w:lineRule="exact"/>
        <w:rPr>
          <w:sz w:val="20"/>
          <w:szCs w:val="20"/>
          <w:color w:val="auto"/>
        </w:rPr>
      </w:pPr>
    </w:p>
    <w:p>
      <w:pPr>
        <w:spacing w:after="0" w:line="24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October 9, 2013</w:t>
      </w:r>
      <w:r>
        <w:rPr>
          <w:sz w:val="20"/>
          <w:szCs w:val="20"/>
          <w:color w:val="auto"/>
        </w:rPr>
        <w:tab/>
      </w:r>
      <w:r>
        <w:rPr>
          <w:rFonts w:ascii="Arial" w:cs="Arial" w:eastAsia="Arial" w:hAnsi="Arial"/>
          <w:sz w:val="16"/>
          <w:szCs w:val="16"/>
          <w:color w:val="auto"/>
        </w:rPr>
        <w:t>By: /s/ Sudhakar Kesavan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Sudhakar Kesavan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2529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Executive Officer</w:t>
      </w:r>
    </w:p>
    <w:sectPr>
      <w:pgSz w:w="11900" w:h="16838" w:orient="portrait"/>
      <w:cols w:equalWidth="0" w:num="1">
        <w:col w:w="11380"/>
      </w:cols>
      <w:pgMar w:left="240" w:top="60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2019-12-07T12:49:37Z</dcterms:created>
  <dcterms:modified xsi:type="dcterms:W3CDTF">2019-12-07T12:49:37Z</dcterms:modified>
</cp:coreProperties>
</file>