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cfi-20260630.htm"/>
      <w:bookmarkStart w:id="1" w:name="ksicfi20260630"/>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24"/>
        </w:rPr>
      </w:pPr>
      <w:r>
        <w:rPr>
          <w:rFonts w:ascii="Times New Roman" w:hAnsi="Times New Roman"/>
          <w:b/>
          <w:color w:val="000000"/>
          <w:sz w:val="24"/>
        </w:rPr>
        <w:t>For the quarterly period ended June 30,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001-33045</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ICF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398" w:type="dxa"/>
        <w:jc w:val="left"/>
        <w:tblInd w:w="0" w:type="dxa"/>
        <w:tblLayout w:type="fixed"/>
        <w:tblCellMar>
          <w:top w:w="28" w:type="dxa"/>
          <w:left w:w="28" w:type="dxa"/>
          <w:bottom w:w="28" w:type="dxa"/>
          <w:right w:w="28" w:type="dxa"/>
        </w:tblCellMar>
      </w:tblPr>
      <w:tblGrid>
        <w:gridCol w:w="3526"/>
        <w:gridCol w:w="146"/>
        <w:gridCol w:w="172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22-3661438</w:t>
            </w:r>
            <w:r>
              <w:rPr>
                <w:rFonts w:ascii="Times New Roman" w:hAnsi="Times New Roman"/>
                <w:color w:val="000000"/>
                <w:sz w:val="20"/>
              </w:rPr>
              <w:t xml:space="preserve"> </w:t>
            </w:r>
          </w:p>
        </w:tc>
      </w:tr>
      <w:tr>
        <w:trPr/>
        <w:tc>
          <w:tcPr>
            <w:tcW w:w="35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sz w:val="20"/>
              </w:rPr>
            </w:pPr>
            <w:r>
              <w:rPr>
                <w:rFonts w:ascii="Times New Roman" w:hAnsi="Times New Roman"/>
                <w:b/>
                <w:color w:val="000000"/>
                <w:sz w:val="20"/>
              </w:rPr>
              <w:t>Incorporation or Organization)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sz w:val="20"/>
              </w:rPr>
            </w:pPr>
            <w:r>
              <w:rPr>
                <w:rFonts w:ascii="Times New Roman" w:hAnsi="Times New Roman"/>
                <w:b/>
                <w:color w:val="000000"/>
                <w:sz w:val="20"/>
              </w:rPr>
              <w:t>Identification No.)</w:t>
            </w:r>
            <w:r>
              <w:rPr>
                <w:rFonts w:ascii="Times New Roman" w:hAnsi="Times New Roman"/>
                <w:color w:val="000000"/>
                <w:sz w:val="20"/>
              </w:rPr>
              <w:t xml:space="preserve">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1902 Reston Metro Plaza, Reston, VA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20190</w:t>
            </w:r>
            <w:r>
              <w:rPr>
                <w:rFonts w:ascii="Times New Roman" w:hAnsi="Times New Roman"/>
                <w:color w:val="000000"/>
                <w:sz w:val="20"/>
              </w:rPr>
              <w:t xml:space="preserve"> </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(Address of Principal Executive Offices)</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(Zip Code)</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(703) 934-3000</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15"/>
        </w:rPr>
      </w:pPr>
      <w:r>
        <w:rPr>
          <w:rFonts w:ascii="Times New Roman" w:hAnsi="Times New Roman"/>
          <w:b/>
          <w:color w:val="000000"/>
          <w:sz w:val="15"/>
        </w:rPr>
        <w:t>(Former name, former address and former fiscal year,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218" w:type="dxa"/>
        <w:jc w:val="left"/>
        <w:tblInd w:w="0" w:type="dxa"/>
        <w:tblLayout w:type="fixed"/>
        <w:tblCellMar>
          <w:top w:w="28" w:type="dxa"/>
          <w:left w:w="28" w:type="dxa"/>
          <w:bottom w:w="28" w:type="dxa"/>
          <w:right w:w="28" w:type="dxa"/>
        </w:tblCellMar>
      </w:tblPr>
      <w:tblGrid>
        <w:gridCol w:w="1621"/>
        <w:gridCol w:w="1771"/>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ICFI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As of July 31, 2026, there were 17,933,884 shares outstanding of the registrant’s common stock.</w:t>
      </w:r>
    </w:p>
    <w:p>
      <w:pPr>
        <w:pStyle w:val="TextBody"/>
        <w:pBdr>
          <w:bottom w:val="double" w:sz="4" w:space="1" w:color="000000"/>
        </w:pBdr>
        <w:bidi w:val="0"/>
        <w:spacing w:before="0" w:after="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QUARTERLY REPORT ON FORM 10-Q FOR THE</w:t>
      </w:r>
    </w:p>
    <w:p>
      <w:pPr>
        <w:pStyle w:val="TextBody"/>
        <w:bidi w:val="0"/>
        <w:jc w:val="center"/>
        <w:rPr>
          <w:rFonts w:ascii="Times New Roman" w:hAnsi="Times New Roman"/>
          <w:b/>
          <w:color w:val="000000"/>
          <w:sz w:val="20"/>
        </w:rPr>
      </w:pPr>
      <w:r>
        <w:rPr>
          <w:rFonts w:ascii="Times New Roman" w:hAnsi="Times New Roman"/>
          <w:b/>
          <w:color w:val="000000"/>
          <w:sz w:val="20"/>
        </w:rPr>
        <w:t>PERIOD ENDED JUNE 30,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73"/>
        <w:gridCol w:w="8776"/>
        <w:gridCol w:w="456"/>
      </w:tblGrid>
      <w:tr>
        <w:trPr/>
        <w:tc>
          <w:tcPr>
            <w:tcW w:w="973" w:type="dxa"/>
            <w:tcBorders/>
            <w:vAlign w:val="center"/>
          </w:tcPr>
          <w:p>
            <w:pPr>
              <w:pStyle w:val="TableContents"/>
              <w:bidi w:val="0"/>
              <w:spacing w:before="0" w:after="283"/>
              <w:jc w:val="left"/>
              <w:rPr>
                <w:sz w:val="4"/>
                <w:szCs w:val="4"/>
              </w:rPr>
            </w:pPr>
            <w:r>
              <w:rPr>
                <w:sz w:val="4"/>
                <w:szCs w:val="4"/>
              </w:rPr>
            </w:r>
          </w:p>
        </w:tc>
        <w:tc>
          <w:tcPr>
            <w:tcW w:w="87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ind w:left="0" w:right="0" w:firstLine="264"/>
              <w:jc w:val="left"/>
              <w:rPr>
                <w:sz w:val="4"/>
                <w:szCs w:val="4"/>
              </w:rPr>
            </w:pPr>
            <w:r>
              <w:rPr>
                <w:sz w:val="4"/>
                <w:szCs w:val="4"/>
              </w:rPr>
            </w:r>
          </w:p>
        </w:tc>
      </w:tr>
      <w:tr>
        <w:trPr/>
        <w:tc>
          <w:tcPr>
            <w:tcW w:w="9749" w:type="dxa"/>
            <w:gridSpan w:val="2"/>
            <w:tcBorders/>
            <w:tcMar>
              <w:top w:w="0" w:type="dxa"/>
              <w:left w:w="0" w:type="dxa"/>
              <w:bottom w:w="0" w:type="dxa"/>
              <w:right w:w="0" w:type="dxa"/>
            </w:tcMar>
            <w:vAlign w:val="center"/>
          </w:tcPr>
          <w:p>
            <w:pPr>
              <w:pStyle w:val="TableContents"/>
              <w:bidi w:val="0"/>
              <w:spacing w:before="0" w:after="283"/>
              <w:ind w:left="0" w:right="0" w:firstLine="264"/>
              <w:jc w:val="left"/>
              <w:rPr/>
            </w:pPr>
            <w:hyperlink w:anchor="part_i_financial_information">
              <w:r>
                <w:rPr>
                  <w:rStyle w:val="InternetLink"/>
                  <w:rFonts w:ascii="Times New Roman" w:hAnsi="Times New Roman"/>
                  <w:color w:val="0000FF"/>
                  <w:sz w:val="20"/>
                </w:rPr>
                <w:t>PART I. FINANCIAL INFORMATION</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1.</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1___financial_statements_">
              <w:r>
                <w:rPr>
                  <w:rStyle w:val="InternetLink"/>
                  <w:rFonts w:ascii="Times New Roman" w:hAnsi="Times New Roman"/>
                  <w:color w:val="0000FF"/>
                  <w:sz w:val="20"/>
                </w:rPr>
                <w:t>Financial Statements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balance_sheets">
              <w:r>
                <w:rPr>
                  <w:rStyle w:val="InternetLink"/>
                  <w:rFonts w:ascii="Times New Roman" w:hAnsi="Times New Roman"/>
                  <w:color w:val="0000FF"/>
                  <w:sz w:val="20"/>
                </w:rPr>
                <w:t>Consolidated Balance Sheets at June 30, 2026 (Unaudited) and December 31,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statements_comprehensive_in">
              <w:r>
                <w:rPr>
                  <w:rStyle w:val="InternetLink"/>
                  <w:rFonts w:ascii="Times New Roman" w:hAnsi="Times New Roman"/>
                  <w:color w:val="0000FF"/>
                  <w:sz w:val="20"/>
                </w:rPr>
                <w:t>Consolidated Statements of Comprehensive Income (Unaudited) for the Three Months and Six Months Ended June 30, 2026 and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8776" w:type="dxa"/>
            <w:tcBorders/>
            <w:tcMar>
              <w:top w:w="0" w:type="dxa"/>
              <w:left w:w="0" w:type="dxa"/>
              <w:bottom w:w="0" w:type="dxa"/>
              <w:right w:w="0" w:type="dxa"/>
            </w:tcMar>
            <w:vAlign w:val="center"/>
          </w:tcPr>
          <w:p>
            <w:pPr>
              <w:pStyle w:val="TableContents"/>
              <w:bidi w:val="0"/>
              <w:spacing w:before="0" w:after="283"/>
              <w:ind w:left="0" w:right="0" w:firstLine="504"/>
              <w:jc w:val="left"/>
              <w:rPr/>
            </w:pPr>
            <w:hyperlink w:anchor="consolidated_stockholders_equity">
              <w:r>
                <w:rPr>
                  <w:rStyle w:val="InternetLink"/>
                  <w:rFonts w:ascii="Times New Roman" w:hAnsi="Times New Roman"/>
                  <w:color w:val="0000FF"/>
                  <w:sz w:val="20"/>
                </w:rPr>
                <w:t>Consolidated Statements of Stockholders’ Equity (Unaudited) including the Three Months and Six Months Ended June 30, 2026 and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77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s_cash_flows_unaud">
              <w:r>
                <w:rPr>
                  <w:rStyle w:val="InternetLink"/>
                  <w:rFonts w:ascii="Times New Roman" w:hAnsi="Times New Roman"/>
                  <w:color w:val="0000FF"/>
                  <w:sz w:val="20"/>
                </w:rPr>
                <w:t>Consolidated Statements of Cash Flows (Unaudited) for the Six Months Ended June 30, 2026 and 2025</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504"/>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ind w:left="0" w:right="0" w:firstLine="504"/>
              <w:jc w:val="left"/>
              <w:rPr/>
            </w:pPr>
            <w:hyperlink w:anchor="notes_to_consolidated_financial_statemen">
              <w:r>
                <w:rPr>
                  <w:rStyle w:val="InternetLink"/>
                  <w:rFonts w:ascii="Times New Roman" w:hAnsi="Times New Roman"/>
                  <w:color w:val="0000FF"/>
                  <w:sz w:val="20"/>
                </w:rPr>
                <w:t>Notes to Consolidated Financial Statements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3" w:type="dxa"/>
            <w:tcBorders/>
            <w:tcMar>
              <w:top w:w="0" w:type="dxa"/>
              <w:left w:w="0" w:type="dxa"/>
              <w:bottom w:w="0" w:type="dxa"/>
              <w:right w:w="0" w:type="dxa"/>
            </w:tcMar>
            <w:vAlign w:val="center"/>
          </w:tcPr>
          <w:p>
            <w:pPr>
              <w:pStyle w:val="TableContents"/>
              <w:bidi w:val="0"/>
              <w:spacing w:before="0" w:after="283"/>
              <w:jc w:val="left"/>
              <w:rPr/>
            </w:pPr>
            <w:r>
              <w:rPr/>
              <w:t> </w:t>
            </w:r>
          </w:p>
        </w:tc>
        <w:tc>
          <w:tcPr>
            <w:tcW w:w="877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2.</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2___managements_discussion_analysis">
              <w:r>
                <w:rPr>
                  <w:rStyle w:val="InternetLink"/>
                  <w:rFonts w:ascii="Times New Roman" w:hAnsi="Times New Roman"/>
                  <w:color w:val="0000FF"/>
                  <w:sz w:val="20"/>
                </w:rPr>
                <w:t>Management’s Discussion and Analysis of Financial Condition and Results of Operations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3.</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3___quantitative_qualitative_disclo">
              <w:r>
                <w:rPr>
                  <w:rStyle w:val="InternetLink"/>
                  <w:rFonts w:ascii="Times New Roman" w:hAnsi="Times New Roman"/>
                  <w:color w:val="0000FF"/>
                  <w:sz w:val="20"/>
                </w:rPr>
                <w:t>Quantitative and Qualitative Disclosures About Market Risk</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4.</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4___controls_procedures">
              <w:r>
                <w:rPr>
                  <w:rStyle w:val="InternetLink"/>
                  <w:rFonts w:ascii="Times New Roman" w:hAnsi="Times New Roman"/>
                  <w:color w:val="0000FF"/>
                  <w:sz w:val="20"/>
                </w:rPr>
                <w:t>Controls and Procedures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74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49" w:type="dxa"/>
            <w:gridSpan w:val="2"/>
            <w:tcBorders/>
            <w:tcMar>
              <w:top w:w="0" w:type="dxa"/>
              <w:left w:w="0" w:type="dxa"/>
              <w:bottom w:w="0" w:type="dxa"/>
              <w:right w:w="0" w:type="dxa"/>
            </w:tcMar>
            <w:vAlign w:val="center"/>
          </w:tcPr>
          <w:p>
            <w:pPr>
              <w:pStyle w:val="TableContents"/>
              <w:bidi w:val="0"/>
              <w:spacing w:before="0" w:after="283"/>
              <w:ind w:left="0" w:right="0" w:firstLine="264"/>
              <w:jc w:val="left"/>
              <w:rPr/>
            </w:pPr>
            <w:hyperlink w:anchor="part_ii_or_information">
              <w:r>
                <w:rPr>
                  <w:rStyle w:val="InternetLink"/>
                  <w:rFonts w:ascii="Times New Roman" w:hAnsi="Times New Roman"/>
                  <w:color w:val="0000FF"/>
                  <w:sz w:val="20"/>
                </w:rPr>
                <w:t>PART II. OTHER INFORMATION</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1.</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1___legal_proceedings_">
              <w:r>
                <w:rPr>
                  <w:rStyle w:val="InternetLink"/>
                  <w:rFonts w:ascii="Times New Roman" w:hAnsi="Times New Roman"/>
                  <w:color w:val="0000FF"/>
                  <w:sz w:val="20"/>
                </w:rPr>
                <w:t>Legal Proceedings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1A.</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1a_risk_factors_">
              <w:r>
                <w:rPr>
                  <w:rStyle w:val="InternetLink"/>
                  <w:rFonts w:ascii="Times New Roman" w:hAnsi="Times New Roman"/>
                  <w:color w:val="0000FF"/>
                  <w:sz w:val="20"/>
                </w:rPr>
                <w:t>Risk Factors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2.</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2___unregistered_sales_equity_secur">
              <w:r>
                <w:rPr>
                  <w:rStyle w:val="InternetLink"/>
                  <w:rFonts w:ascii="Times New Roman" w:hAnsi="Times New Roman"/>
                  <w:color w:val="0000FF"/>
                  <w:sz w:val="20"/>
                </w:rPr>
                <w:t>Unregistered Sales of Equity Securities, Use of Proceeds, and Issuer Purchases of Equity Securities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3.</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3___defaults_upon_senior_securities">
              <w:r>
                <w:rPr>
                  <w:rStyle w:val="InternetLink"/>
                  <w:rFonts w:ascii="Times New Roman" w:hAnsi="Times New Roman"/>
                  <w:color w:val="0000FF"/>
                  <w:sz w:val="20"/>
                </w:rPr>
                <w:t>Defaults Upon Senior Securities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4.</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4___mine_safety_disclosures_">
              <w:r>
                <w:rPr>
                  <w:rStyle w:val="InternetLink"/>
                  <w:rFonts w:ascii="Times New Roman" w:hAnsi="Times New Roman"/>
                  <w:color w:val="0000FF"/>
                  <w:sz w:val="20"/>
                </w:rPr>
                <w:t>Mine Safety Disclosures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5.</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5___or_information_">
              <w:r>
                <w:rPr>
                  <w:rStyle w:val="InternetLink"/>
                  <w:rFonts w:ascii="Times New Roman" w:hAnsi="Times New Roman"/>
                  <w:color w:val="0000FF"/>
                  <w:sz w:val="20"/>
                </w:rPr>
                <w:t>Other Information</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64"/>
              <w:jc w:val="right"/>
              <w:rPr/>
            </w:pPr>
            <w:r>
              <w:rPr/>
              <w:t> </w:t>
            </w:r>
          </w:p>
        </w:tc>
      </w:tr>
      <w:tr>
        <w:trPr/>
        <w:tc>
          <w:tcPr>
            <w:tcW w:w="973" w:type="dxa"/>
            <w:tcBorders/>
            <w:tcMar>
              <w:top w:w="0" w:type="dxa"/>
              <w:left w:w="0" w:type="dxa"/>
              <w:bottom w:w="0" w:type="dxa"/>
              <w:right w:w="0" w:type="dxa"/>
            </w:tcMar>
            <w:vAlign w:val="center"/>
          </w:tcPr>
          <w:p>
            <w:pPr>
              <w:pStyle w:val="TableContents"/>
              <w:bidi w:val="0"/>
              <w:spacing w:before="0" w:after="283"/>
              <w:ind w:left="0" w:right="0" w:firstLine="264"/>
              <w:jc w:val="left"/>
              <w:rPr>
                <w:rFonts w:ascii="Times New Roman" w:hAnsi="Times New Roman"/>
                <w:color w:val="000000"/>
                <w:sz w:val="20"/>
              </w:rPr>
            </w:pPr>
            <w:r>
              <w:rPr>
                <w:rFonts w:ascii="Times New Roman" w:hAnsi="Times New Roman"/>
                <w:color w:val="000000"/>
                <w:sz w:val="20"/>
              </w:rPr>
              <w:t>Item 6.</w:t>
            </w:r>
          </w:p>
        </w:tc>
        <w:tc>
          <w:tcPr>
            <w:tcW w:w="8776" w:type="dxa"/>
            <w:tcBorders/>
            <w:tcMar>
              <w:top w:w="0" w:type="dxa"/>
              <w:left w:w="0" w:type="dxa"/>
              <w:bottom w:w="0" w:type="dxa"/>
              <w:right w:w="0" w:type="dxa"/>
            </w:tcMar>
            <w:vAlign w:val="center"/>
          </w:tcPr>
          <w:p>
            <w:pPr>
              <w:pStyle w:val="TableContents"/>
              <w:bidi w:val="0"/>
              <w:spacing w:before="0" w:after="283"/>
              <w:ind w:left="0" w:right="0" w:firstLine="264"/>
              <w:jc w:val="left"/>
              <w:rPr/>
            </w:pPr>
            <w:hyperlink w:anchor="item_6_exhibits_">
              <w:r>
                <w:rPr>
                  <w:rStyle w:val="InternetLink"/>
                  <w:rFonts w:ascii="Times New Roman" w:hAnsi="Times New Roman"/>
                  <w:color w:val="0000FF"/>
                  <w:sz w:val="20"/>
                </w:rPr>
                <w:t>Exhibits</w:t>
              </w:r>
            </w:hyperlink>
          </w:p>
        </w:tc>
        <w:tc>
          <w:tcPr>
            <w:tcW w:w="4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i/>
          <w:color w:val="000000"/>
          <w:sz w:val="20"/>
        </w:rPr>
      </w:pPr>
      <w:bookmarkStart w:id="3" w:name="item_1___financial_statements_"/>
      <w:bookmarkEnd w:id="3"/>
      <w:r>
        <w:rPr>
          <w:rFonts w:ascii="Times New Roman" w:hAnsi="Times New Roman"/>
          <w:b/>
          <w:i/>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7198"/>
        <w:gridCol w:w="146"/>
        <w:gridCol w:w="202"/>
        <w:gridCol w:w="853"/>
        <w:gridCol w:w="166"/>
        <w:gridCol w:w="146"/>
        <w:gridCol w:w="226"/>
        <w:gridCol w:w="954"/>
        <w:gridCol w:w="314"/>
      </w:tblGrid>
      <w:tr>
        <w:trPr/>
        <w:tc>
          <w:tcPr>
            <w:tcW w:w="7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7"/>
              </w:rPr>
            </w:pPr>
            <w:r>
              <w:rPr>
                <w:rFonts w:ascii="Times New Roman" w:hAnsi="Times New Roman"/>
                <w:b/>
                <w:i/>
                <w:color w:val="000000"/>
                <w:sz w:val="17"/>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99,283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47,984</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237,996</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Contract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196,075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186,684</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Income tax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18,308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18,087</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514,438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53,266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58,357</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1,252,207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intangible assets,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68,406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81,555</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Operating lease -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106,274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37,340</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2,098,164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2,050,171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7"/>
              </w:rPr>
            </w:pPr>
            <w:r>
              <w:rPr>
                <w:rFonts w:ascii="Times New Roman" w:hAnsi="Times New Roman"/>
                <w:b/>
                <w:i/>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83,806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123,524</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43,444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Lease liabilities - 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21,491</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95,578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subcontractors and other direct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48,900</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71,340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Current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417,994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404,277</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406,228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401,355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Lease liabilities - non-current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140,002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148,493</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6,837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62,503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60,727</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1,048,235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1,021,689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Commitments and Contingencies</w:t>
            </w:r>
            <w:r>
              <w:rPr>
                <w:rFonts w:ascii="Times New Roman" w:hAnsi="Times New Roman"/>
                <w:color w:val="000000"/>
                <w:sz w:val="17"/>
              </w:rPr>
              <w:t xml:space="preserve"> </w:t>
            </w:r>
            <w:r>
              <w:rPr>
                <w:rFonts w:ascii="Times New Roman" w:hAnsi="Times New Roman"/>
                <w:b/>
                <w:color w:val="000000"/>
                <w:sz w:val="17"/>
              </w:rPr>
              <w:t>(Note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Preferred stock, par value $.001; 5,000,000</w:t>
            </w:r>
            <w:r>
              <w:rPr>
                <w:rFonts w:ascii="Times New Roman" w:hAnsi="Times New Roman"/>
                <w:color w:val="000000"/>
                <w:sz w:val="20"/>
              </w:rPr>
              <w:t> </w:t>
            </w:r>
            <w:r>
              <w:rPr>
                <w:rFonts w:ascii="Times New Roman" w:hAnsi="Times New Roman"/>
                <w:color w:val="000000"/>
                <w:sz w:val="17"/>
              </w:rPr>
              <w:t>shares authorized; none</w:t>
            </w:r>
            <w:r>
              <w:rPr>
                <w:rFonts w:ascii="Times New Roman" w:hAnsi="Times New Roman"/>
                <w:color w:val="000000"/>
                <w:sz w:val="20"/>
              </w:rPr>
              <w:t> </w:t>
            </w:r>
            <w:r>
              <w:rPr>
                <w:rFonts w:ascii="Times New Roman" w:hAnsi="Times New Roman"/>
                <w:color w:val="000000"/>
                <w:sz w:val="17"/>
              </w:rPr>
              <w:t>issued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Common stock, par value $.001; 70,000,000</w:t>
            </w:r>
            <w:r>
              <w:rPr>
                <w:rFonts w:ascii="Times New Roman" w:hAnsi="Times New Roman"/>
                <w:color w:val="000000"/>
                <w:sz w:val="20"/>
              </w:rPr>
              <w:t> </w:t>
            </w:r>
            <w:r>
              <w:rPr>
                <w:rFonts w:ascii="Times New Roman" w:hAnsi="Times New Roman"/>
                <w:color w:val="000000"/>
                <w:sz w:val="17"/>
              </w:rPr>
              <w:t>shares authorized; 24,548,078</w:t>
            </w:r>
            <w:r>
              <w:rPr>
                <w:rFonts w:ascii="Times New Roman" w:hAnsi="Times New Roman"/>
                <w:color w:val="000000"/>
                <w:sz w:val="20"/>
              </w:rPr>
              <w:t> </w:t>
            </w:r>
            <w:r>
              <w:rPr>
                <w:rFonts w:ascii="Times New Roman" w:hAnsi="Times New Roman"/>
                <w:color w:val="000000"/>
                <w:sz w:val="17"/>
              </w:rPr>
              <w:t>and 24,378,749</w:t>
            </w:r>
            <w:r>
              <w:rPr>
                <w:rFonts w:ascii="Times New Roman" w:hAnsi="Times New Roman"/>
                <w:color w:val="000000"/>
                <w:sz w:val="20"/>
              </w:rPr>
              <w:t> </w:t>
            </w:r>
            <w:r>
              <w:rPr>
                <w:rFonts w:ascii="Times New Roman" w:hAnsi="Times New Roman"/>
                <w:color w:val="000000"/>
                <w:sz w:val="17"/>
              </w:rPr>
              <w:t>shares issued at June 30, 2026 and December 31, 2025, respectively; 17,933,884</w:t>
            </w:r>
            <w:r>
              <w:rPr>
                <w:rFonts w:ascii="Times New Roman" w:hAnsi="Times New Roman"/>
                <w:color w:val="000000"/>
                <w:sz w:val="20"/>
              </w:rPr>
              <w:t> </w:t>
            </w:r>
            <w:r>
              <w:rPr>
                <w:rFonts w:ascii="Times New Roman" w:hAnsi="Times New Roman"/>
                <w:color w:val="000000"/>
                <w:sz w:val="17"/>
              </w:rPr>
              <w:t>and 18,247,837</w:t>
            </w:r>
            <w:r>
              <w:rPr>
                <w:rFonts w:ascii="Times New Roman" w:hAnsi="Times New Roman"/>
                <w:color w:val="000000"/>
                <w:sz w:val="20"/>
              </w:rPr>
              <w:t> </w:t>
            </w:r>
            <w:r>
              <w:rPr>
                <w:rFonts w:ascii="Times New Roman" w:hAnsi="Times New Roman"/>
                <w:color w:val="000000"/>
                <w:sz w:val="17"/>
              </w:rPr>
              <w:t>shares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476,942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465,779</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998,491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956,077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7"/>
              </w:rPr>
              <w:t>Treasury stock, 6,614,194</w:t>
            </w:r>
            <w:r>
              <w:rPr>
                <w:rFonts w:ascii="Times New Roman" w:hAnsi="Times New Roman"/>
                <w:color w:val="000000"/>
                <w:sz w:val="20"/>
              </w:rPr>
              <w:t> </w:t>
            </w:r>
            <w:r>
              <w:rPr>
                <w:rFonts w:ascii="Times New Roman" w:hAnsi="Times New Roman"/>
                <w:color w:val="000000"/>
                <w:sz w:val="17"/>
              </w:rPr>
              <w:t>and 6,130,912</w:t>
            </w:r>
            <w:r>
              <w:rPr>
                <w:rFonts w:ascii="Times New Roman" w:hAnsi="Times New Roman"/>
                <w:color w:val="000000"/>
                <w:sz w:val="20"/>
              </w:rPr>
              <w:t> </w:t>
            </w:r>
            <w:r>
              <w:rPr>
                <w:rFonts w:ascii="Times New Roman" w:hAnsi="Times New Roman"/>
                <w:color w:val="000000"/>
                <w:sz w:val="17"/>
              </w:rPr>
              <w:t>shares at June 30, 2026 and December 31, 2025, respectively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(412,709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(379,970</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(13,428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1,049,929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1,028,482</w:t>
            </w:r>
          </w:p>
        </w:tc>
        <w:tc>
          <w:tcPr>
            <w:tcW w:w="3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2,098,164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2,050,171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b/>
          <w:color w:val="000000"/>
          <w:sz w:val="20"/>
        </w:rPr>
      </w:pPr>
      <w:bookmarkStart w:id="5" w:name="consolidated_statements_comprehensive_in"/>
      <w:bookmarkEnd w:id="5"/>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617" w:type="dxa"/>
        <w:jc w:val="left"/>
        <w:tblInd w:w="0" w:type="dxa"/>
        <w:tblLayout w:type="fixed"/>
        <w:tblCellMar>
          <w:top w:w="28" w:type="dxa"/>
          <w:left w:w="28" w:type="dxa"/>
          <w:bottom w:w="28" w:type="dxa"/>
          <w:right w:w="28" w:type="dxa"/>
        </w:tblCellMar>
      </w:tblPr>
      <w:tblGrid>
        <w:gridCol w:w="3396"/>
        <w:gridCol w:w="146"/>
        <w:gridCol w:w="196"/>
        <w:gridCol w:w="691"/>
        <w:gridCol w:w="166"/>
        <w:gridCol w:w="146"/>
        <w:gridCol w:w="196"/>
        <w:gridCol w:w="691"/>
        <w:gridCol w:w="166"/>
        <w:gridCol w:w="146"/>
        <w:gridCol w:w="196"/>
        <w:gridCol w:w="691"/>
        <w:gridCol w:w="166"/>
        <w:gridCol w:w="146"/>
        <w:gridCol w:w="196"/>
        <w:gridCol w:w="691"/>
        <w:gridCol w:w="59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963,773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600,967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Indirect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284,405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sz w:val="20"/>
        </w:rPr>
      </w:pPr>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stockholders_equity"/>
      <w:bookmarkEnd w:id="6"/>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p>
      <w:pPr>
        <w:pStyle w:val="TextBody"/>
        <w:bidi w:val="0"/>
        <w:jc w:val="left"/>
        <w:rPr/>
      </w:pPr>
      <w:r>
        <w:rPr/>
        <w:t> </w:t>
      </w:r>
    </w:p>
    <w:tbl>
      <w:tblPr>
        <w:tblW w:w="10706" w:type="dxa"/>
        <w:jc w:val="left"/>
        <w:tblInd w:w="0" w:type="dxa"/>
        <w:tblLayout w:type="fixed"/>
        <w:tblCellMar>
          <w:top w:w="28" w:type="dxa"/>
          <w:left w:w="28" w:type="dxa"/>
          <w:bottom w:w="28" w:type="dxa"/>
          <w:right w:w="28" w:type="dxa"/>
        </w:tblCellMar>
      </w:tblPr>
      <w:tblGrid>
        <w:gridCol w:w="1171"/>
        <w:gridCol w:w="146"/>
        <w:gridCol w:w="146"/>
        <w:gridCol w:w="601"/>
        <w:gridCol w:w="166"/>
        <w:gridCol w:w="146"/>
        <w:gridCol w:w="249"/>
        <w:gridCol w:w="442"/>
        <w:gridCol w:w="146"/>
        <w:gridCol w:w="146"/>
        <w:gridCol w:w="196"/>
        <w:gridCol w:w="691"/>
        <w:gridCol w:w="146"/>
        <w:gridCol w:w="146"/>
        <w:gridCol w:w="196"/>
        <w:gridCol w:w="691"/>
        <w:gridCol w:w="166"/>
        <w:gridCol w:w="146"/>
        <w:gridCol w:w="146"/>
        <w:gridCol w:w="511"/>
        <w:gridCol w:w="146"/>
        <w:gridCol w:w="146"/>
        <w:gridCol w:w="196"/>
        <w:gridCol w:w="751"/>
        <w:gridCol w:w="166"/>
        <w:gridCol w:w="146"/>
        <w:gridCol w:w="278"/>
        <w:gridCol w:w="938"/>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956,077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1,028,482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Issuance of shares pursuant to vesting of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Issuance of shares pursuant to employee stock purchase plan and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 repurchases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476,942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998,491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1,049,929</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706" w:type="dxa"/>
        <w:jc w:val="left"/>
        <w:tblInd w:w="0" w:type="dxa"/>
        <w:tblLayout w:type="fixed"/>
        <w:tblCellMar>
          <w:top w:w="28" w:type="dxa"/>
          <w:left w:w="28" w:type="dxa"/>
          <w:bottom w:w="28" w:type="dxa"/>
          <w:right w:w="28" w:type="dxa"/>
        </w:tblCellMar>
      </w:tblPr>
      <w:tblGrid>
        <w:gridCol w:w="1171"/>
        <w:gridCol w:w="146"/>
        <w:gridCol w:w="146"/>
        <w:gridCol w:w="601"/>
        <w:gridCol w:w="166"/>
        <w:gridCol w:w="146"/>
        <w:gridCol w:w="249"/>
        <w:gridCol w:w="442"/>
        <w:gridCol w:w="146"/>
        <w:gridCol w:w="146"/>
        <w:gridCol w:w="196"/>
        <w:gridCol w:w="691"/>
        <w:gridCol w:w="146"/>
        <w:gridCol w:w="146"/>
        <w:gridCol w:w="196"/>
        <w:gridCol w:w="691"/>
        <w:gridCol w:w="166"/>
        <w:gridCol w:w="146"/>
        <w:gridCol w:w="146"/>
        <w:gridCol w:w="511"/>
        <w:gridCol w:w="146"/>
        <w:gridCol w:w="146"/>
        <w:gridCol w:w="196"/>
        <w:gridCol w:w="751"/>
        <w:gridCol w:w="166"/>
        <w:gridCol w:w="146"/>
        <w:gridCol w:w="278"/>
        <w:gridCol w:w="938"/>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874,772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(320,054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982,459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xml:space="preserve">Issuance of shares pursuant to vesting of </w:t>
              <w:br/>
              <w:t>   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968,868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Equity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Issuance of shares pursuant to employee stock purchase plan and vesting of restricted stock units</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 repurchases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454,425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920,135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(361,891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1,000,392</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sz w:val="20"/>
        </w:rPr>
      </w:pPr>
      <w:bookmarkStart w:id="7" w:name="consolidated_statements_cash_flows_unaud"/>
      <w:bookmarkEnd w:id="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8924" w:type="dxa"/>
        <w:jc w:val="left"/>
        <w:tblInd w:w="0" w:type="dxa"/>
        <w:tblLayout w:type="fixed"/>
        <w:tblCellMar>
          <w:top w:w="28" w:type="dxa"/>
          <w:left w:w="28" w:type="dxa"/>
          <w:bottom w:w="28" w:type="dxa"/>
          <w:right w:w="28" w:type="dxa"/>
        </w:tblCellMar>
      </w:tblPr>
      <w:tblGrid>
        <w:gridCol w:w="6061"/>
        <w:gridCol w:w="146"/>
        <w:gridCol w:w="196"/>
        <w:gridCol w:w="751"/>
        <w:gridCol w:w="166"/>
        <w:gridCol w:w="146"/>
        <w:gridCol w:w="196"/>
        <w:gridCol w:w="751"/>
        <w:gridCol w:w="51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(recovery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 and unrecognized income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29,497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operating adjustments,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net of the effects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contract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subcontractors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Income tax receivable and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for purchase of property and equipment and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investing,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Advances from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755,651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(705,626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short-term borrowings,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Stock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 tax (refunds)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ICF International, Inc. and Subsidiaries</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(dollar amounts in tables in thousands, except share and per share data)</w:t>
      </w:r>
    </w:p>
    <w:p>
      <w:pPr>
        <w:pStyle w:val="TextBody"/>
        <w:bidi w:val="0"/>
        <w:spacing w:before="240" w:after="283"/>
        <w:jc w:val="left"/>
        <w:rPr>
          <w:rFonts w:ascii="Times New Roman" w:hAnsi="Times New Roman"/>
          <w:b/>
          <w:color w:val="000000"/>
          <w:sz w:val="20"/>
        </w:rPr>
      </w:pPr>
      <w:bookmarkStart w:id="9" w:name="note_1_nature_operations_basis_presentat"/>
      <w:bookmarkEnd w:id="9"/>
      <w:r>
        <w:rPr>
          <w:rFonts w:ascii="Times New Roman" w:hAnsi="Times New Roman"/>
          <w:b/>
          <w:color w:val="000000"/>
          <w:sz w:val="20"/>
        </w:rPr>
        <w:t>NOTE 1 –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of ICF International, Inc. (“ICFI”) and its wholly-owned principal subsidiary, ICF Consulting Group, Inc. (“Consulting,” and together with ICFI, the “Company”), and have been prepared in accordance with United States (“U.S.”) generally accepted accounting principles (“U.S. GAAP”). ICFI is a holding company with no operations or assets other than its investment in the common stock of Consulting. All other subsidiaries of the Company are wholly owned by Consulting. Intercompany transactions and balances have been eliminated.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the reported amounts of revenue and expenses. Management evaluates these estimates on an ongoing basis including those that relate to revenue recognition (including estimates of variable considerations and remaining costs to complete fixed-price contracts), expected credit losses, valuation and lives of tangible and intangible assets acquired from business combinations, and reserves for tax benefits and valuation allowances on deferred tax assets. Actual results experienced by the Company may differ from management’s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Interim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consolidated financial statements included in this Quarterly Report on Form 10-Q have been prepared pursuant to the rules and regulations of the Securities and Exchange Commission (the “SEC”). These rules and regulations permit some of the information and footnote disclosures normally included in annual financial statements, prepared in accordance with U.S. GAAP, to be condensed or omitted. In management’s opinion, the unaudited consolidated financial statements contain all adjustments that are of a normal recurring nature, necessary for a fair presentation of the results of operations and financial position of the Company for the interim periods presented. The Company reports operating results and financial data as a single operating segment and reporting unit. Operating results for the three-month and the six-month periods ended June 30, 2026 and 2025 are not necessarily indicative of the results that may be expected for the full year. These unaudited consolidated financial statements should be read in conjunction with the audited consolidated financial statements for the fiscal year ended December 31, 2025 and the notes thereto included in the Company’s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Statement—Reporting Comprehensive Income—Expense Disaggregation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(“ASU 2024-03”), which requires additional disaggregation of certain costs and expenses. ASU 2024-03 specifically requires all public entities to disclose within a tabular format the amounts of (a) purchases of inventory, (b) employee compensation, (c) depreciation, (d) intangible asset amortization, and (e) depreciation, depletion, and amortization recognized as part of oil- and gas-producing activities in each relevant expense caption as well as certain amounts that are already required to be disclosed under current U.S. GAAP. ASU 2024-03 also requires public entities to disclose a qualitative description of the composition of any amounts in relevant expense captions that are not separately disaggregated and the amount and definition of the entity’s selling expenses. ASU 2024-03 will be effective for the Company for the annual reporting periods beginning after December 15, 2026, and interim periods beginning after December 15, 2027, with early adoption permitted. The amendments may be adopted on a prospective or retrospective basis. The Company is currently evaluating the impact of the adoption of ASU 2024-03.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Intangibles—Goodwill and Other—Internal-Use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Targeted Improvements to the Accounting for Internal-Use Software (“ASU 2025-06”), which modernizes the accounting for internal-use software costs by removing all references to software development project stages so that the guidance is neutral to different software development methods. ASU 2025-06 will be effective for the Company for annual reporting periods beginning after December 15, 2027, and interim reporting periods within those annual reporting periods, with early adoption permitted. The amendments may be adopted on a prospective, retrospective, or modified basis. The Company is currently evaluating the impact of the adoption of ASU 2025-06.</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0" w:name="note_2_restricted_cash"/>
      <w:bookmarkEnd w:id="10"/>
      <w:r>
        <w:rPr>
          <w:rFonts w:ascii="Times New Roman" w:hAnsi="Times New Roman"/>
          <w:b/>
          <w:color w:val="000000"/>
          <w:sz w:val="20"/>
        </w:rPr>
        <w:t>NOTE 2 – RESTRICTED CASH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provides a reconciliation of cash, cash equivalents, and restricted cash as of June 30, 2026 and 2025 to cash, cash equivalents, and restricted cash shown in the consolidated statements of cash flows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7057"/>
        <w:gridCol w:w="146"/>
        <w:gridCol w:w="259"/>
        <w:gridCol w:w="960"/>
        <w:gridCol w:w="146"/>
        <w:gridCol w:w="146"/>
        <w:gridCol w:w="284"/>
        <w:gridCol w:w="913"/>
        <w:gridCol w:w="294"/>
      </w:tblGrid>
      <w:tr>
        <w:trPr/>
        <w:tc>
          <w:tcPr>
            <w:tcW w:w="7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6,981</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Restricted cash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57"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of cash, cash equivalents, and restricted cash shown in the consolidated statements of cash flows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26,888</w:t>
            </w:r>
          </w:p>
        </w:tc>
        <w:tc>
          <w:tcPr>
            <w:tcW w:w="2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The balance as of June 30, 2026, includes $5.1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of long-term restricted cash included within “Other assets” on the Company’s consolidated balance sheets. There was no</w:t>
      </w:r>
      <w:r>
        <w:rPr>
          <w:rFonts w:ascii="Times New Roman" w:hAnsi="Times New Roman"/>
          <w:color w:val="000000"/>
          <w:sz w:val="20"/>
        </w:rPr>
        <w:t xml:space="preserve"> </w:t>
      </w:r>
      <w:r>
        <w:rPr>
          <w:rFonts w:ascii="Times New Roman" w:hAnsi="Times New Roman"/>
          <w:color w:val="000000"/>
          <w:sz w:val="16"/>
        </w:rPr>
        <w:t>long-term restricted cash balance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is primarily related to the Company’s energy incentive management business for its public utility clients and advances on certain programs.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1" w:name="note_3_contract_receivables_net"/>
      <w:bookmarkEnd w:id="11"/>
      <w:r>
        <w:rPr>
          <w:rFonts w:ascii="Times New Roman" w:hAnsi="Times New Roman"/>
          <w:b/>
          <w:color w:val="000000"/>
          <w:sz w:val="20"/>
        </w:rPr>
        <w:t>NOTE 3 – ACCOUNTS RECEIVABLE,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Accounts receivable, net consists of contract and other customer receivables. A reconciliation of accounts receivable, net is as follows: </w:t>
      </w:r>
    </w:p>
    <w:tbl>
      <w:tblPr>
        <w:tblW w:w="7245" w:type="dxa"/>
        <w:jc w:val="left"/>
        <w:tblInd w:w="0" w:type="dxa"/>
        <w:tblLayout w:type="fixed"/>
        <w:tblCellMar>
          <w:top w:w="28" w:type="dxa"/>
          <w:left w:w="28" w:type="dxa"/>
          <w:bottom w:w="28" w:type="dxa"/>
          <w:right w:w="28" w:type="dxa"/>
        </w:tblCellMar>
      </w:tblPr>
      <w:tblGrid>
        <w:gridCol w:w="3176"/>
        <w:gridCol w:w="246"/>
        <w:gridCol w:w="271"/>
        <w:gridCol w:w="1004"/>
        <w:gridCol w:w="266"/>
        <w:gridCol w:w="246"/>
        <w:gridCol w:w="367"/>
        <w:gridCol w:w="1358"/>
        <w:gridCol w:w="311"/>
      </w:tblGrid>
      <w:tr>
        <w:trPr/>
        <w:tc>
          <w:tcPr>
            <w:tcW w:w="3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Billed and billable </w:t>
            </w:r>
            <w:r>
              <w:rPr>
                <w:rFonts w:ascii="Times New Roman" w:hAnsi="Times New Roman"/>
                <w:color w:val="000000"/>
                <w:sz w:val="13"/>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243,462</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241,129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Allowance for expected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239,789</w:t>
            </w:r>
          </w:p>
        </w:tc>
        <w:tc>
          <w:tcPr>
            <w:tcW w:w="266"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6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237,996</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Includes billed other customer receivables totaling $16.2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$20.6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at June 30, 2026 and December 31, 2025, respectively, related to the Company’s energy incentive management business for its public utility clients.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sells certain billed accounts receivable in accordance with its Amended Master Receivables Purchase Agreement with MUFG Bank, Ltd. (“MUFG”) that are accounted for as sales under the Accounting Standards Codification (“ASC”) 860, Transfers and Servicing (“ASC 860”). The accounts receivable are sold without recourse and the Company does not retain any ongoing financial interest in the transferred accounts receivable other than providing servicing activities. The following is a reconciliation of billed accounts receivable sold to MUFG:</w:t>
      </w:r>
    </w:p>
    <w:tbl>
      <w:tblPr>
        <w:tblW w:w="9446" w:type="dxa"/>
        <w:jc w:val="left"/>
        <w:tblInd w:w="0" w:type="dxa"/>
        <w:tblLayout w:type="fixed"/>
        <w:tblCellMar>
          <w:top w:w="28" w:type="dxa"/>
          <w:left w:w="28" w:type="dxa"/>
          <w:bottom w:w="28" w:type="dxa"/>
          <w:right w:w="28" w:type="dxa"/>
        </w:tblCellMar>
      </w:tblPr>
      <w:tblGrid>
        <w:gridCol w:w="6031"/>
        <w:gridCol w:w="146"/>
        <w:gridCol w:w="267"/>
        <w:gridCol w:w="1065"/>
        <w:gridCol w:w="210"/>
        <w:gridCol w:w="184"/>
        <w:gridCol w:w="267"/>
        <w:gridCol w:w="1065"/>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billed accounts receivable sold and not yet collected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Billed accounts receivable sold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CEE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Collections from customers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(252,231</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(241,140</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billed accounts receivable sold and not yet collected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For the six months ended June 30, 2026 and 2025, the Company recorded net outflows of $9.2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$1.6</w:t>
      </w:r>
      <w:r>
        <w:rPr>
          <w:rFonts w:ascii="Times New Roman" w:hAnsi="Times New Roman"/>
          <w:color w:val="000000"/>
          <w:sz w:val="20"/>
        </w:rPr>
        <w:t xml:space="preserve"> </w:t>
      </w:r>
      <w:r>
        <w:rPr>
          <w:rFonts w:ascii="Times New Roman" w:hAnsi="Times New Roman"/>
          <w:color w:val="000000"/>
          <w:sz w:val="16"/>
        </w:rPr>
        <w:t>million, respectively, in its cash flows from operating activities from the sale of billed accounts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reconciliation of cash collections from customers of billed accounts receivable previously sold to MUFG that were eligible and accounted for as sales under ASC 860:</w:t>
      </w:r>
    </w:p>
    <w:tbl>
      <w:tblPr>
        <w:tblW w:w="8786" w:type="dxa"/>
        <w:jc w:val="left"/>
        <w:tblInd w:w="0" w:type="dxa"/>
        <w:tblLayout w:type="fixed"/>
        <w:tblCellMar>
          <w:top w:w="28" w:type="dxa"/>
          <w:left w:w="28" w:type="dxa"/>
          <w:bottom w:w="28" w:type="dxa"/>
          <w:right w:w="28" w:type="dxa"/>
        </w:tblCellMar>
      </w:tblPr>
      <w:tblGrid>
        <w:gridCol w:w="5371"/>
        <w:gridCol w:w="146"/>
        <w:gridCol w:w="267"/>
        <w:gridCol w:w="1065"/>
        <w:gridCol w:w="210"/>
        <w:gridCol w:w="184"/>
        <w:gridCol w:w="267"/>
        <w:gridCol w:w="1065"/>
        <w:gridCol w:w="2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and 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cash collected but not yet remitted to MUFG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Collections from customers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252,231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CEE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Remittances to MUFG </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(247,410</w:t>
            </w:r>
          </w:p>
        </w:tc>
        <w:tc>
          <w:tcPr>
            <w:tcW w:w="2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(242,108</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cash collected but not yet remitted to MUFG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For the six months ended June 30, 2026 and 2025, the Company recorded a net inflow of $4.8</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a net outflow of $1.0</w:t>
      </w:r>
      <w:r>
        <w:rPr>
          <w:rFonts w:ascii="Times New Roman" w:hAnsi="Times New Roman"/>
          <w:color w:val="000000"/>
          <w:sz w:val="20"/>
        </w:rPr>
        <w:t xml:space="preserve"> </w:t>
      </w:r>
      <w:r>
        <w:rPr>
          <w:rFonts w:ascii="Times New Roman" w:hAnsi="Times New Roman"/>
          <w:color w:val="000000"/>
          <w:sz w:val="16"/>
        </w:rPr>
        <w:t>million, respectively, in its cash flows from operating activities from the collection of billed accounts receivable that were sold but not yet remitted to MUFG.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aggregate impact of the sale of billed accounts receivable on the Company’s operating cash flows was net outflows of $4.4 million and $2.6 million for the six months ended June 30, 2026 and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June 30, 2026 and December 31, 2025, the amounts due to MUFG for cash collected and not yet remitted for billed accounts receivable sold that did not qualify as sales under ASC 860 totaled $4.9 million and $3.4 million, respectively. These amounts are included as part of “Accrued expenses and other current liabilities” on the Company’s consolidated balance sheets, and included within cash flows from financing activities on the Company’s consolidated statements of cash flows.</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12" w:name="note_4_leases"/>
      <w:bookmarkEnd w:id="12"/>
      <w:r>
        <w:rPr>
          <w:rFonts w:ascii="Times New Roman" w:hAnsi="Times New Roman"/>
          <w:b/>
          <w:color w:val="000000"/>
          <w:sz w:val="20"/>
        </w:rPr>
        <w:t>NOTE 4 – 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the Company had operating and finance leases for facilities and equipment with remaining duration ranging from 1 to 12 years. Future minimum lease payments under non-cancellable operating and finance leases as of June 30, 2026 were as follows:</w:t>
      </w:r>
    </w:p>
    <w:tbl>
      <w:tblPr>
        <w:tblW w:w="6029" w:type="dxa"/>
        <w:jc w:val="left"/>
        <w:tblInd w:w="0" w:type="dxa"/>
        <w:tblLayout w:type="fixed"/>
        <w:tblCellMar>
          <w:top w:w="28" w:type="dxa"/>
          <w:left w:w="28" w:type="dxa"/>
          <w:bottom w:w="28" w:type="dxa"/>
          <w:right w:w="28" w:type="dxa"/>
        </w:tblCellMar>
      </w:tblPr>
      <w:tblGrid>
        <w:gridCol w:w="3281"/>
        <w:gridCol w:w="146"/>
        <w:gridCol w:w="211"/>
        <w:gridCol w:w="781"/>
        <w:gridCol w:w="166"/>
        <w:gridCol w:w="146"/>
        <w:gridCol w:w="211"/>
        <w:gridCol w:w="676"/>
        <w:gridCol w:w="41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w:t>
            </w:r>
          </w:p>
        </w:tc>
        <w:tc>
          <w:tcPr>
            <w:tcW w:w="4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4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3935" w:type="dxa"/>
        <w:jc w:val="left"/>
        <w:tblInd w:w="0" w:type="dxa"/>
        <w:tblLayout w:type="fixed"/>
        <w:tblCellMar>
          <w:top w:w="28" w:type="dxa"/>
          <w:left w:w="28" w:type="dxa"/>
          <w:bottom w:w="28" w:type="dxa"/>
          <w:right w:w="28" w:type="dxa"/>
        </w:tblCellMar>
      </w:tblPr>
      <w:tblGrid>
        <w:gridCol w:w="2506"/>
        <w:gridCol w:w="146"/>
        <w:gridCol w:w="211"/>
        <w:gridCol w:w="781"/>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148,602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158,522</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current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158,522</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3" w:name="note_5_debt"/>
      <w:bookmarkEnd w:id="13"/>
      <w:r>
        <w:rPr>
          <w:rFonts w:ascii="Times New Roman" w:hAnsi="Times New Roman"/>
          <w:b/>
          <w:color w:val="000000"/>
          <w:sz w:val="20"/>
        </w:rPr>
        <w:t>NOTE 5 – LONG-TERM 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April 10, 2026, the Company completed the refinancing of its previous credit agreement, dated May 6, 2022 (the “Previous Credit Agreement”) by entering into a new Amended and Restated Credit Agreement (the “Amended and Restated Credit Agreement” or the “Credit Facility”) with PNC Bank, National Association as administrative agent, BOFA Securities, Inc. and Wells Fargo Securities, LLC as the joint lead arrangers, certain other financial institutions as lenders, and certain guarantors party thereto (“Loan Syndicate”).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Amended and Restated Credit Agreement: (a) maintains a $600 million revolving credit facility (together and inclusive of a $75 million swing line sublimit and $100 million sublimit for letters of credit); (b) increases the existing term loan facility from $300 million to $450 million; (c) maintains a delayed draw term loan facility of $400 million; (d) increases the existing incremental credit facility from an aggregate principal amount of not more than $300 million, to an aggregate principal amount not to exceed the greater of (i) $300 million and (ii) 100% of Consolidated EBITDA, plus the amounts of voluntary prepayments of Term Loans and Delayed Draw Term Loans; (e) allows the Company the option to borrow at interest rates based on a base rate or a Secured Overnight Financing Rate (SOFR) plus a contractually defined margin based on the Company’s consolidated net leverage ratio; (f) amends the definition of “Consolidated Indebtedness” to net Unrestricted Cash and replaces the existing maximum Consolidated Leverage Ratio covenant with a maximum Consolidated Net Leverage Ratio covenant, which is maintained at a maximum of 4.50 to 1.00 (with temporary increases to 5.00 to 1.00 for the three fiscal quarters following a “Material Permitted Acquisition”); (g) extends the maturity date until April 10, 2031; and (h) modifies certain definitions and covenants.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June 30, 2026 and December 31, 2025, long-term debt consisted of:</w:t>
      </w:r>
    </w:p>
    <w:tbl>
      <w:tblPr>
        <w:tblW w:w="8536" w:type="dxa"/>
        <w:jc w:val="left"/>
        <w:tblInd w:w="0" w:type="dxa"/>
        <w:tblLayout w:type="fixed"/>
        <w:tblCellMar>
          <w:top w:w="28" w:type="dxa"/>
          <w:left w:w="28" w:type="dxa"/>
          <w:bottom w:w="28" w:type="dxa"/>
          <w:right w:w="28" w:type="dxa"/>
        </w:tblCellMar>
      </w:tblPr>
      <w:tblGrid>
        <w:gridCol w:w="2821"/>
        <w:gridCol w:w="146"/>
        <w:gridCol w:w="1186"/>
        <w:gridCol w:w="146"/>
        <w:gridCol w:w="242"/>
        <w:gridCol w:w="899"/>
        <w:gridCol w:w="166"/>
        <w:gridCol w:w="146"/>
        <w:gridCol w:w="1186"/>
        <w:gridCol w:w="146"/>
        <w:gridCol w:w="242"/>
        <w:gridCol w:w="899"/>
        <w:gridCol w:w="3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Balance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Delayed-Draw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48,484</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402,734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Unamortized debt issuance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401,355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interest rate on borrowings was 5.0% and 5.7% for the six months ended June 30, 2026 and 2025, respectively, and 5.6% for the twelve months ended December 31, 2025. Inclusive of the impact of floating-to-fixed interest rate swaps (see “Note 7 – Derivative Instruments and Hedging Activities”), the weighted-average interest rate was 5.0% and 5.4% for the six months ended June 30, 2026 and 2025, respectively, and 5.4% for the twelve months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a total borrowing capacity of $986.4 million, inclusive of $586.4 million under the revolving line of credit and $400.0 million of the unused delayed draw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Syndicate of the amended Credit Facility includes a combination of continuing and new financial institutions. The borrowing and repayments against the amended Credit Facility are presented in the statement of cash flows on a constructive basis, as if each borrowing in the previous syndicate was extinguished, and each financial institution in the Loan Syndicate is providing new borrowings.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Contractual Repayments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contractual repayments of debt principal are as follows:</w:t>
      </w:r>
    </w:p>
    <w:tbl>
      <w:tblPr>
        <w:tblW w:w="6714" w:type="dxa"/>
        <w:jc w:val="left"/>
        <w:tblInd w:w="0" w:type="dxa"/>
        <w:tblLayout w:type="fixed"/>
        <w:tblCellMar>
          <w:top w:w="28" w:type="dxa"/>
          <w:left w:w="28" w:type="dxa"/>
          <w:bottom w:w="28" w:type="dxa"/>
          <w:right w:w="28" w:type="dxa"/>
        </w:tblCellMar>
      </w:tblPr>
      <w:tblGrid>
        <w:gridCol w:w="2161"/>
        <w:gridCol w:w="146"/>
        <w:gridCol w:w="229"/>
        <w:gridCol w:w="851"/>
        <w:gridCol w:w="146"/>
        <w:gridCol w:w="146"/>
        <w:gridCol w:w="371"/>
        <w:gridCol w:w="1189"/>
        <w:gridCol w:w="146"/>
        <w:gridCol w:w="146"/>
        <w:gridCol w:w="211"/>
        <w:gridCol w:w="78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Payments due by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Credit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10, 2031 (maturity)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362,812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374,834</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 Issuance Costs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debt issuance costs, which represent fees and other direct incremental costs incurred in connection with the Company’s long-term debt, have been deferred and are amortized over the term of indebtedness. As of June 30, 2026 and December 31, 2025, the balance of debt issuance costs and their location on the consolidated balance sheets are as follows:</w:t>
      </w:r>
    </w:p>
    <w:tbl>
      <w:tblPr>
        <w:tblW w:w="6050" w:type="dxa"/>
        <w:jc w:val="left"/>
        <w:tblInd w:w="0" w:type="dxa"/>
        <w:tblLayout w:type="fixed"/>
        <w:tblCellMar>
          <w:top w:w="28" w:type="dxa"/>
          <w:left w:w="28" w:type="dxa"/>
          <w:bottom w:w="28" w:type="dxa"/>
          <w:right w:w="28" w:type="dxa"/>
        </w:tblCellMar>
      </w:tblPr>
      <w:tblGrid>
        <w:gridCol w:w="2281"/>
        <w:gridCol w:w="146"/>
        <w:gridCol w:w="344"/>
        <w:gridCol w:w="931"/>
        <w:gridCol w:w="166"/>
        <w:gridCol w:w="146"/>
        <w:gridCol w:w="431"/>
        <w:gridCol w:w="1294"/>
        <w:gridCol w:w="3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3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Amortization of debt issuance costs for the three months ended June 30, 2026 and 2025 totaled $0.5 million and $0.3 million, respectively, and for the six months ended June 30, 2026 and 2025 totaled $0.8 million and $0.6 million, respectively. The amortization is included as part of “Interest, net,” on the Company’s consolidated statements of comprehensive income.</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14" w:name="note_6_revenue_recognition"/>
      <w:bookmarkEnd w:id="14"/>
      <w:r>
        <w:rPr>
          <w:rFonts w:ascii="Times New Roman" w:hAnsi="Times New Roman"/>
          <w:b/>
          <w:color w:val="000000"/>
          <w:sz w:val="20"/>
        </w:rPr>
        <w:t>NOTE 6 – REVENUE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Substantially all of the Company’s revenue is recognized over time as control of the related goods or services is transferred to customers. </w:t>
      </w:r>
    </w:p>
    <w:p>
      <w:pPr>
        <w:pStyle w:val="TextBody"/>
        <w:bidi w:val="0"/>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disaggregates revenue from clients into categories that depict how the nature, amount, and uncertainty of revenue and cash flows are affected by economic and business factors. Those categories are client market, client type, and contract mix.</w:t>
      </w:r>
    </w:p>
    <w:tbl>
      <w:tblPr>
        <w:tblW w:w="11414" w:type="dxa"/>
        <w:jc w:val="left"/>
        <w:tblInd w:w="0" w:type="dxa"/>
        <w:tblLayout w:type="fixed"/>
        <w:tblCellMar>
          <w:top w:w="28" w:type="dxa"/>
          <w:left w:w="28" w:type="dxa"/>
          <w:bottom w:w="28" w:type="dxa"/>
          <w:right w:w="28" w:type="dxa"/>
        </w:tblCellMar>
      </w:tblPr>
      <w:tblGrid>
        <w:gridCol w:w="1361"/>
        <w:gridCol w:w="146"/>
        <w:gridCol w:w="211"/>
        <w:gridCol w:w="781"/>
        <w:gridCol w:w="146"/>
        <w:gridCol w:w="146"/>
        <w:gridCol w:w="193"/>
        <w:gridCol w:w="558"/>
        <w:gridCol w:w="271"/>
        <w:gridCol w:w="146"/>
        <w:gridCol w:w="211"/>
        <w:gridCol w:w="781"/>
        <w:gridCol w:w="146"/>
        <w:gridCol w:w="146"/>
        <w:gridCol w:w="193"/>
        <w:gridCol w:w="558"/>
        <w:gridCol w:w="271"/>
        <w:gridCol w:w="146"/>
        <w:gridCol w:w="211"/>
        <w:gridCol w:w="781"/>
        <w:gridCol w:w="146"/>
        <w:gridCol w:w="146"/>
        <w:gridCol w:w="193"/>
        <w:gridCol w:w="558"/>
        <w:gridCol w:w="271"/>
        <w:gridCol w:w="146"/>
        <w:gridCol w:w="211"/>
        <w:gridCol w:w="781"/>
        <w:gridCol w:w="146"/>
        <w:gridCol w:w="146"/>
        <w:gridCol w:w="193"/>
        <w:gridCol w:w="558"/>
        <w:gridCol w:w="516"/>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Client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Energy, environment, infrastructure, and disaster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Health and social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Security and other civilian &amp; 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1479" w:type="dxa"/>
        <w:jc w:val="left"/>
        <w:tblInd w:w="0" w:type="dxa"/>
        <w:tblLayout w:type="fixed"/>
        <w:tblCellMar>
          <w:top w:w="28" w:type="dxa"/>
          <w:left w:w="28" w:type="dxa"/>
          <w:bottom w:w="28" w:type="dxa"/>
          <w:right w:w="28" w:type="dxa"/>
        </w:tblCellMar>
      </w:tblPr>
      <w:tblGrid>
        <w:gridCol w:w="1326"/>
        <w:gridCol w:w="146"/>
        <w:gridCol w:w="211"/>
        <w:gridCol w:w="781"/>
        <w:gridCol w:w="146"/>
        <w:gridCol w:w="146"/>
        <w:gridCol w:w="193"/>
        <w:gridCol w:w="558"/>
        <w:gridCol w:w="271"/>
        <w:gridCol w:w="146"/>
        <w:gridCol w:w="211"/>
        <w:gridCol w:w="781"/>
        <w:gridCol w:w="146"/>
        <w:gridCol w:w="146"/>
        <w:gridCol w:w="193"/>
        <w:gridCol w:w="558"/>
        <w:gridCol w:w="271"/>
        <w:gridCol w:w="146"/>
        <w:gridCol w:w="211"/>
        <w:gridCol w:w="781"/>
        <w:gridCol w:w="146"/>
        <w:gridCol w:w="146"/>
        <w:gridCol w:w="193"/>
        <w:gridCol w:w="558"/>
        <w:gridCol w:w="271"/>
        <w:gridCol w:w="146"/>
        <w:gridCol w:w="211"/>
        <w:gridCol w:w="781"/>
        <w:gridCol w:w="146"/>
        <w:gridCol w:w="146"/>
        <w:gridCol w:w="193"/>
        <w:gridCol w:w="558"/>
        <w:gridCol w:w="616"/>
      </w:tblGrid>
      <w:tr>
        <w:trPr/>
        <w:tc>
          <w:tcPr>
            <w:tcW w:w="1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Client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federal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state and local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International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Government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3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849" w:type="dxa"/>
        <w:jc w:val="left"/>
        <w:tblInd w:w="0" w:type="dxa"/>
        <w:tblLayout w:type="fixed"/>
        <w:tblCellMar>
          <w:top w:w="28" w:type="dxa"/>
          <w:left w:w="28" w:type="dxa"/>
          <w:bottom w:w="28" w:type="dxa"/>
          <w:right w:w="28" w:type="dxa"/>
        </w:tblCellMar>
      </w:tblPr>
      <w:tblGrid>
        <w:gridCol w:w="1796"/>
        <w:gridCol w:w="146"/>
        <w:gridCol w:w="211"/>
        <w:gridCol w:w="781"/>
        <w:gridCol w:w="146"/>
        <w:gridCol w:w="146"/>
        <w:gridCol w:w="193"/>
        <w:gridCol w:w="558"/>
        <w:gridCol w:w="271"/>
        <w:gridCol w:w="146"/>
        <w:gridCol w:w="211"/>
        <w:gridCol w:w="781"/>
        <w:gridCol w:w="146"/>
        <w:gridCol w:w="146"/>
        <w:gridCol w:w="193"/>
        <w:gridCol w:w="558"/>
        <w:gridCol w:w="271"/>
        <w:gridCol w:w="146"/>
        <w:gridCol w:w="211"/>
        <w:gridCol w:w="781"/>
        <w:gridCol w:w="146"/>
        <w:gridCol w:w="146"/>
        <w:gridCol w:w="193"/>
        <w:gridCol w:w="558"/>
        <w:gridCol w:w="271"/>
        <w:gridCol w:w="146"/>
        <w:gridCol w:w="211"/>
        <w:gridCol w:w="781"/>
        <w:gridCol w:w="146"/>
        <w:gridCol w:w="146"/>
        <w:gridCol w:w="193"/>
        <w:gridCol w:w="558"/>
        <w:gridCol w:w="516"/>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Time-and-materials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Cost-based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Contract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Contract assets consist of unbilled receivables on contracts where revenue recognized exceeds the amount billed. Contract liabilities result from advance payments received on a contract or from billings in excess of revenue recognized.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contract assets and liabilities as of June 30, 2026 and December 31, 2025:</w:t>
      </w:r>
    </w:p>
    <w:tbl>
      <w:tblPr>
        <w:tblW w:w="10205" w:type="dxa"/>
        <w:jc w:val="left"/>
        <w:tblInd w:w="0" w:type="dxa"/>
        <w:tblLayout w:type="fixed"/>
        <w:tblCellMar>
          <w:top w:w="28" w:type="dxa"/>
          <w:left w:w="28" w:type="dxa"/>
          <w:bottom w:w="28" w:type="dxa"/>
          <w:right w:w="28" w:type="dxa"/>
        </w:tblCellMar>
      </w:tblPr>
      <w:tblGrid>
        <w:gridCol w:w="2502"/>
        <w:gridCol w:w="146"/>
        <w:gridCol w:w="2731"/>
        <w:gridCol w:w="146"/>
        <w:gridCol w:w="261"/>
        <w:gridCol w:w="969"/>
        <w:gridCol w:w="166"/>
        <w:gridCol w:w="146"/>
        <w:gridCol w:w="342"/>
        <w:gridCol w:w="1268"/>
        <w:gridCol w:w="166"/>
        <w:gridCol w:w="146"/>
        <w:gridCol w:w="225"/>
        <w:gridCol w:w="676"/>
        <w:gridCol w:w="315"/>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Financial Statement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9,391</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contract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increase in net contract assets (liabilities) is primarily due to the timing difference between the performance of services and billings to customers. During the six months ended June 30, 2026 and 2025, the Company recognized $24.5 million and $17.5 million in revenue related to the contract liabilities balance at December 31, 2025 and 2024, respectively.</w:t>
      </w:r>
    </w:p>
    <w:p>
      <w:pPr>
        <w:pStyle w:val="TextBody"/>
        <w:bidi w:val="0"/>
        <w:jc w:val="left"/>
        <w:rPr>
          <w:rFonts w:ascii="Times New Roman" w:hAnsi="Times New Roman"/>
          <w:i/>
          <w:color w:val="000000"/>
          <w:sz w:val="20"/>
        </w:rPr>
      </w:pPr>
      <w:r>
        <w:rPr>
          <w:rFonts w:ascii="Times New Roman" w:hAnsi="Times New Roman"/>
          <w:i/>
          <w:color w:val="000000"/>
          <w:sz w:val="20"/>
        </w:rPr>
        <w:t>Changes in Estimates on Contracts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net income of $4.1 million and $5.3 million during the three months ended June 30, 2026 and 2025, respectively, and $4.3 million and $11.6 million during the six months ended June 30, 2026 and 2025, respectively, as a result of net changes in estimates related to fixed-price contracts accounted for under the percentage-of-completion method. The impact of the changes on the Company’s diluted earnings per share was $0.23 and $0.29 for the three months ended June 30, 2026 and 2025, respectively, and $0.24 and $0.63 for the six months ended June 30, 2026 and 2025,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Adjustments from Previously Satisfied Performance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$11.2 million, and $1.5 million, respectively, of revenue from previously satisfied performance obligations during the three months ended June 30, 2026 and 2025, and $12.4 million and $5.0 million during the six months ended June 30, 2026 and 2025, respectively. The adjustments were primarily due to changes in transaction price from contract modifications and final award performance determinations.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Unfulfilled Performance Obligations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computing unfulfilled performance obligations (“UPO”), the Company excludes contracts with a stated term of one year or less (practical expedient), and contracts with the U.S. federal government. As of June 30, 2026, the UPO was $0.2 billion, of which 46% is expected to be recognized as revenue by December 31, 2026, 65% by December 31, 2027, 90% by December 31, 2028, and the remainder by December 31, 2029.</w:t>
      </w:r>
    </w:p>
    <w:p>
      <w:pPr>
        <w:pStyle w:val="TextBody"/>
        <w:bidi w:val="0"/>
        <w:spacing w:before="0" w:after="120"/>
        <w:jc w:val="left"/>
        <w:rPr/>
      </w:pPr>
      <w:r>
        <w:rPr/>
        <w:t> </w:t>
      </w:r>
    </w:p>
    <w:p>
      <w:pPr>
        <w:pStyle w:val="TextBody"/>
        <w:bidi w:val="0"/>
        <w:jc w:val="left"/>
        <w:rPr>
          <w:rFonts w:ascii="Times New Roman" w:hAnsi="Times New Roman"/>
          <w:b/>
          <w:color w:val="000000"/>
          <w:sz w:val="20"/>
        </w:rPr>
      </w:pPr>
      <w:bookmarkStart w:id="15" w:name="note_7_derivative_instruments_and_hedge"/>
      <w:bookmarkEnd w:id="15"/>
      <w:r>
        <w:rPr>
          <w:rFonts w:ascii="Times New Roman" w:hAnsi="Times New Roman"/>
          <w:b/>
          <w:color w:val="000000"/>
          <w:sz w:val="20"/>
        </w:rPr>
        <w:t>NOTE 7 – DERIVATIVE INSTRUMENTS AND HEDGING ACTIVITIES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the Company had floating-to-fixed interest rate swap agreements (the “Swaps”) for an aggregate notional amount of $175.0 million, of which $50.0 million will mature on February 28, 2030, $25.0 million will mature on June 26, 2030, and $100.0 million will mature on July 31, 2030. The Company has designated the Swaps as cash flow hedges. See “Note 5 – Long-Term Debt” for details on the impact of the Swaps on the Company’s interest rates, and “Note 12 – Fair Value” for the fair value of these Swaps.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pPr>
      <w:r>
        <w:rPr/>
        <w:t> </w:t>
      </w:r>
    </w:p>
    <w:p>
      <w:pPr>
        <w:pStyle w:val="TextBody"/>
        <w:bidi w:val="0"/>
        <w:jc w:val="left"/>
        <w:rPr>
          <w:rFonts w:ascii="Times New Roman" w:hAnsi="Times New Roman"/>
          <w:sz w:val="20"/>
        </w:rPr>
      </w:pPr>
      <w:bookmarkStart w:id="16" w:name="note_8_income_taxes"/>
      <w:bookmarkEnd w:id="16"/>
      <w:r>
        <w:rPr>
          <w:rFonts w:ascii="Times New Roman" w:hAnsi="Times New Roman"/>
          <w:b/>
          <w:color w:val="000000"/>
          <w:sz w:val="20"/>
        </w:rPr>
        <w:t xml:space="preserve">NOTE 8 </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effective tax rate (the “ETR”) was 17.8% and 21.0% for the three months ended June 30, 2026 and 2025, respectively, and 21.1% and 15.7% for the six months ended June 30, 2026 and 2025, respectively. The ETR for the three and six months ended June 30, 2026 were lower than the combined federal and state statutory tax rate primarily due to research tax credits and state tax planning strategies implemented that were, in part, offset by additional tax provisions attributable to equity-based compensation and valuation allowance on excess foreign tax credits. The ETR for the three and six months ended June 30, 2025 were lower than the combined statutory tax rate primarily due to research tax credits offset, in part, by valuation allowances on equity-based compensation assets and excess foreign tax credits.</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note_9_stockholders_equity"/>
      <w:bookmarkEnd w:id="17"/>
      <w:r>
        <w:rPr>
          <w:rFonts w:ascii="Times New Roman" w:hAnsi="Times New Roman"/>
          <w:b/>
          <w:color w:val="000000"/>
          <w:sz w:val="20"/>
        </w:rPr>
        <w:t>NOTE 9 – STOCKHOLDERS’ EQUITY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Accumulated Other Comprehensive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Accumulated other comprehensive loss as of June 30, 2026 and 2025 included the following:</w:t>
      </w:r>
    </w:p>
    <w:tbl>
      <w:tblPr>
        <w:tblW w:w="10205" w:type="dxa"/>
        <w:jc w:val="left"/>
        <w:tblInd w:w="0" w:type="dxa"/>
        <w:tblLayout w:type="fixed"/>
        <w:tblCellMar>
          <w:top w:w="28" w:type="dxa"/>
          <w:left w:w="28" w:type="dxa"/>
          <w:bottom w:w="28" w:type="dxa"/>
          <w:right w:w="28" w:type="dxa"/>
        </w:tblCellMar>
      </w:tblPr>
      <w:tblGrid>
        <w:gridCol w:w="5724"/>
        <w:gridCol w:w="146"/>
        <w:gridCol w:w="254"/>
        <w:gridCol w:w="887"/>
        <w:gridCol w:w="166"/>
        <w:gridCol w:w="146"/>
        <w:gridCol w:w="326"/>
        <w:gridCol w:w="885"/>
        <w:gridCol w:w="166"/>
        <w:gridCol w:w="146"/>
        <w:gridCol w:w="211"/>
        <w:gridCol w:w="736"/>
        <w:gridCol w:w="412"/>
      </w:tblGrid>
      <w:tr>
        <w:trPr/>
        <w:tc>
          <w:tcPr>
            <w:tcW w:w="5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br/>
              <w:t>Fair Value of</w:t>
              <w:br/>
              <w:t>Interest Rate</w:t>
              <w:br/>
              <w:t>Hedge</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41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Amounts reclassified from accumulated other comprehensive (loss)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412"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w:t>
            </w:r>
          </w:p>
        </w:tc>
        <w:tc>
          <w:tcPr>
            <w:tcW w:w="4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The Company expects to reclassify approximately $0.3</w:t>
      </w:r>
      <w:r>
        <w:rPr>
          <w:color w:val="000000"/>
        </w:rPr>
        <w:t xml:space="preserve"> </w:t>
      </w:r>
      <w:r>
        <w:rPr>
          <w:rFonts w:ascii="Times New Roman" w:hAnsi="Times New Roman"/>
          <w:color w:val="000000"/>
          <w:sz w:val="16"/>
        </w:rPr>
        <w:t>million</w:t>
      </w:r>
      <w:r>
        <w:rPr>
          <w:color w:val="000000"/>
        </w:rPr>
        <w:t xml:space="preserve"> </w:t>
      </w:r>
      <w:r>
        <w:rPr>
          <w:rFonts w:ascii="Times New Roman" w:hAnsi="Times New Roman"/>
          <w:color w:val="000000"/>
          <w:sz w:val="16"/>
        </w:rPr>
        <w:t>of unrealized gains related to the Change in Fair Value of Interest Rate Hedge Agreements from accumulated other comprehensive (loss) income into earnings during the next 12 months.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9"/>
        <w:gridCol w:w="146"/>
        <w:gridCol w:w="254"/>
        <w:gridCol w:w="887"/>
        <w:gridCol w:w="166"/>
        <w:gridCol w:w="146"/>
        <w:gridCol w:w="304"/>
        <w:gridCol w:w="911"/>
        <w:gridCol w:w="166"/>
        <w:gridCol w:w="146"/>
        <w:gridCol w:w="211"/>
        <w:gridCol w:w="736"/>
        <w:gridCol w:w="393"/>
      </w:tblGrid>
      <w:tr>
        <w:trPr/>
        <w:tc>
          <w:tcPr>
            <w:tcW w:w="5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br/>
              <w:t>Fair Value of</w:t>
              <w:br/>
              <w:t>Interest Rate</w:t>
              <w:br/>
              <w:t>Hedge</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(18,459</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3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5,982</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Amounts reclassified from 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39"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20"/>
        <w:gridCol w:w="146"/>
        <w:gridCol w:w="254"/>
        <w:gridCol w:w="887"/>
        <w:gridCol w:w="166"/>
        <w:gridCol w:w="146"/>
        <w:gridCol w:w="304"/>
        <w:gridCol w:w="911"/>
        <w:gridCol w:w="166"/>
        <w:gridCol w:w="146"/>
        <w:gridCol w:w="211"/>
        <w:gridCol w:w="736"/>
        <w:gridCol w:w="412"/>
      </w:tblGrid>
      <w:tr>
        <w:trPr/>
        <w:tc>
          <w:tcPr>
            <w:tcW w:w="5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br/>
              <w:t>Fair Value of</w:t>
              <w:br/>
              <w:t>Interest Rate</w:t>
              <w:br/>
              <w:t>Hedge</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412"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Amounts reclassified from 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412"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June 30,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w:t>
            </w:r>
          </w:p>
        </w:tc>
        <w:tc>
          <w:tcPr>
            <w:tcW w:w="4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43"/>
        <w:gridCol w:w="146"/>
        <w:gridCol w:w="254"/>
        <w:gridCol w:w="887"/>
        <w:gridCol w:w="166"/>
        <w:gridCol w:w="146"/>
        <w:gridCol w:w="303"/>
        <w:gridCol w:w="908"/>
        <w:gridCol w:w="166"/>
        <w:gridCol w:w="146"/>
        <w:gridCol w:w="211"/>
        <w:gridCol w:w="736"/>
        <w:gridCol w:w="393"/>
      </w:tblGrid>
      <w:tr>
        <w:trPr/>
        <w:tc>
          <w:tcPr>
            <w:tcW w:w="5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Foreign</w:t>
              <w:br/>
              <w:t>Currency</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w:t>
              <w:br/>
              <w:t>Fair Value of</w:t>
              <w:br/>
              <w:t>Interest Rate</w:t>
              <w:br/>
              <w:t>Hedge</w:t>
              <w:br/>
              <w:t>Agreements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Amounts reclassified from accumulated other comprehensive (loss)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93"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period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 at June 30,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During the first quarter of 2025, the Company reclassified $4.1</w:t>
      </w:r>
      <w:r>
        <w:rPr>
          <w:rFonts w:ascii="Times New Roman" w:hAnsi="Times New Roman"/>
          <w:color w:val="000000"/>
          <w:sz w:val="20"/>
        </w:rPr>
        <w:t xml:space="preserve"> </w:t>
      </w:r>
      <w:r>
        <w:rPr>
          <w:rFonts w:ascii="Times New Roman" w:hAnsi="Times New Roman"/>
          <w:color w:val="000000"/>
          <w:sz w:val="16"/>
        </w:rPr>
        <w:t>million of effect of taxes related to Foreign Currency Translation Adjustments from accumulated other comprehensive (loss) income into earnings in connection with IRC 987.</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repurchases shares under a share repurchase program authorized by its board of directors. In addition, the Company repurchases shares in connection with the vesting of restricted stock units (“RSUs”) and performance share awards (“PSAs”) granted to employees.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Repurchases for the three and six months ended June 30, 2026 and 2025 are as follows:</w:t>
      </w:r>
    </w:p>
    <w:tbl>
      <w:tblPr>
        <w:tblW w:w="7235" w:type="dxa"/>
        <w:jc w:val="left"/>
        <w:tblInd w:w="0" w:type="dxa"/>
        <w:tblLayout w:type="fixed"/>
        <w:tblCellMar>
          <w:top w:w="28" w:type="dxa"/>
          <w:left w:w="28" w:type="dxa"/>
          <w:bottom w:w="28" w:type="dxa"/>
          <w:right w:w="28" w:type="dxa"/>
        </w:tblCellMar>
      </w:tblPr>
      <w:tblGrid>
        <w:gridCol w:w="2281"/>
        <w:gridCol w:w="146"/>
        <w:gridCol w:w="781"/>
        <w:gridCol w:w="146"/>
        <w:gridCol w:w="289"/>
        <w:gridCol w:w="926"/>
        <w:gridCol w:w="146"/>
        <w:gridCol w:w="146"/>
        <w:gridCol w:w="146"/>
        <w:gridCol w:w="676"/>
        <w:gridCol w:w="146"/>
        <w:gridCol w:w="328"/>
        <w:gridCol w:w="88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3"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 Program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218,100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40" w:type="dxa"/>
        <w:jc w:val="left"/>
        <w:tblInd w:w="0" w:type="dxa"/>
        <w:tblLayout w:type="fixed"/>
        <w:tblCellMar>
          <w:top w:w="28" w:type="dxa"/>
          <w:left w:w="28" w:type="dxa"/>
          <w:bottom w:w="28" w:type="dxa"/>
          <w:right w:w="28" w:type="dxa"/>
        </w:tblCellMar>
      </w:tblPr>
      <w:tblGrid>
        <w:gridCol w:w="2281"/>
        <w:gridCol w:w="146"/>
        <w:gridCol w:w="781"/>
        <w:gridCol w:w="146"/>
        <w:gridCol w:w="289"/>
        <w:gridCol w:w="926"/>
        <w:gridCol w:w="146"/>
        <w:gridCol w:w="146"/>
        <w:gridCol w:w="146"/>
        <w:gridCol w:w="781"/>
        <w:gridCol w:w="146"/>
        <w:gridCol w:w="289"/>
        <w:gridCol w:w="92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 Program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483,282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387,231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8" w:name="note_10_stockbased_awards"/>
      <w:bookmarkEnd w:id="18"/>
      <w:r>
        <w:rPr>
          <w:rFonts w:ascii="Times New Roman" w:hAnsi="Times New Roman"/>
          <w:b/>
          <w:color w:val="000000"/>
          <w:sz w:val="20"/>
        </w:rPr>
        <w:t>NOTE 10 – STOCK-BASED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granted stock awards in the form of RSUs, cash-settled RSUs, and performance shares to employees and non-employee directors under the 2018 Amended and Restated Omnibus Plan (the “2018 A&amp;R Omnibus Plan”). On June 2, 2026, the Company’s stockholders approved the 2026 Omnibus Incentive Plan (the “2026 Omnibus Plan”) that replaced the 2018 A&amp;R Omnibus Plan. As of June 30, 2026, 473,743 shares previously awarded under the 2018 A&amp;R Omnibus Plan remained outstanding.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2026 Omnibus Plan allows the Company to grant up to 1,321,000 total shares of common stock to officers, key employees, and non-employee directors. As of June 30, 2026, the Company had 1,319,931 shares available for grant under the 2026 Omnibus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awards were granted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61"/>
        <w:gridCol w:w="146"/>
        <w:gridCol w:w="147"/>
        <w:gridCol w:w="575"/>
        <w:gridCol w:w="147"/>
        <w:gridCol w:w="147"/>
        <w:gridCol w:w="147"/>
        <w:gridCol w:w="424"/>
        <w:gridCol w:w="146"/>
        <w:gridCol w:w="146"/>
        <w:gridCol w:w="215"/>
        <w:gridCol w:w="583"/>
        <w:gridCol w:w="149"/>
        <w:gridCol w:w="149"/>
        <w:gridCol w:w="215"/>
        <w:gridCol w:w="583"/>
        <w:gridCol w:w="146"/>
        <w:gridCol w:w="146"/>
        <w:gridCol w:w="146"/>
        <w:gridCol w:w="781"/>
        <w:gridCol w:w="146"/>
        <w:gridCol w:w="146"/>
        <w:gridCol w:w="146"/>
        <w:gridCol w:w="781"/>
        <w:gridCol w:w="146"/>
        <w:gridCol w:w="146"/>
        <w:gridCol w:w="215"/>
        <w:gridCol w:w="583"/>
        <w:gridCol w:w="149"/>
        <w:gridCol w:w="149"/>
        <w:gridCol w:w="215"/>
        <w:gridCol w:w="583"/>
        <w:gridCol w:w="20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Awards Granted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Grant Date 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Awards - 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Awards - PSAs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 Director Stock Awards -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292,033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stock-based compensation expense was $5.5 million and $5.8 million for the three months ended June 30, 2026 and 2025, respectively, and $10.9 million and $9.8 million for the six months ended June 30, 2026 and 2025, respectively. The unrecognized compensation expense at June 30, 2026 was $31.9 million, which is expected to vest over the next 1.9 years.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9" w:name="note_11_earnings_per_share"/>
      <w:bookmarkEnd w:id="19"/>
      <w:r>
        <w:rPr>
          <w:rFonts w:ascii="Times New Roman" w:hAnsi="Times New Roman"/>
          <w:b/>
          <w:color w:val="000000"/>
          <w:sz w:val="20"/>
        </w:rPr>
        <w:t>NOTE 11 –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Earnings per share (“EPS”), including the dilutive effect of stock awards for each period reported is summarized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44"/>
        <w:gridCol w:w="146"/>
        <w:gridCol w:w="211"/>
        <w:gridCol w:w="676"/>
        <w:gridCol w:w="146"/>
        <w:gridCol w:w="146"/>
        <w:gridCol w:w="211"/>
        <w:gridCol w:w="676"/>
        <w:gridCol w:w="146"/>
        <w:gridCol w:w="146"/>
        <w:gridCol w:w="211"/>
        <w:gridCol w:w="676"/>
        <w:gridCol w:w="146"/>
        <w:gridCol w:w="146"/>
        <w:gridCol w:w="211"/>
        <w:gridCol w:w="676"/>
        <w:gridCol w:w="191"/>
      </w:tblGrid>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basic shares outstanding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diluted shares outstanding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weighted-average stock awards were excluded from the calculation of weighted-average diluted share computations because they were anti-dilutive:</w:t>
      </w:r>
    </w:p>
    <w:tbl>
      <w:tblPr>
        <w:tblW w:w="6497" w:type="dxa"/>
        <w:jc w:val="left"/>
        <w:tblInd w:w="0" w:type="dxa"/>
        <w:tblLayout w:type="fixed"/>
        <w:tblCellMar>
          <w:top w:w="28" w:type="dxa"/>
          <w:left w:w="28" w:type="dxa"/>
          <w:bottom w:w="28" w:type="dxa"/>
          <w:right w:w="28" w:type="dxa"/>
        </w:tblCellMar>
      </w:tblPr>
      <w:tblGrid>
        <w:gridCol w:w="1996"/>
        <w:gridCol w:w="146"/>
        <w:gridCol w:w="146"/>
        <w:gridCol w:w="781"/>
        <w:gridCol w:w="146"/>
        <w:gridCol w:w="146"/>
        <w:gridCol w:w="146"/>
        <w:gridCol w:w="676"/>
        <w:gridCol w:w="146"/>
        <w:gridCol w:w="146"/>
        <w:gridCol w:w="146"/>
        <w:gridCol w:w="571"/>
        <w:gridCol w:w="146"/>
        <w:gridCol w:w="146"/>
        <w:gridCol w:w="146"/>
        <w:gridCol w:w="676"/>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Restricted Stock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0" w:name="note_12_fair_value"/>
      <w:bookmarkEnd w:id="20"/>
      <w:r>
        <w:rPr>
          <w:rFonts w:ascii="Times New Roman" w:hAnsi="Times New Roman"/>
          <w:b/>
          <w:color w:val="000000"/>
          <w:sz w:val="20"/>
        </w:rPr>
        <w:t>NOTE 12 –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measured at fair value on a recurring basis and their location within the accompanying consolidated balance sheets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261"/>
        <w:gridCol w:w="431"/>
        <w:gridCol w:w="146"/>
        <w:gridCol w:w="146"/>
        <w:gridCol w:w="211"/>
        <w:gridCol w:w="676"/>
        <w:gridCol w:w="146"/>
        <w:gridCol w:w="146"/>
        <w:gridCol w:w="261"/>
        <w:gridCol w:w="431"/>
        <w:gridCol w:w="146"/>
        <w:gridCol w:w="146"/>
        <w:gridCol w:w="211"/>
        <w:gridCol w:w="676"/>
        <w:gridCol w:w="146"/>
        <w:gridCol w:w="146"/>
        <w:gridCol w:w="3045"/>
      </w:tblGrid>
      <w:tr>
        <w:trPr/>
        <w:tc>
          <w:tcPr>
            <w:tcW w:w="28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on Balance Sheet</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current portion</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Prepaid expenses and other assets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long-term portion</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 life insurance policies</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current portion</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expenses and other current liabilities</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long-term portion</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long-term liabilities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RSUs</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salaries and benefits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4"/>
        <w:gridCol w:w="261"/>
        <w:gridCol w:w="431"/>
        <w:gridCol w:w="146"/>
        <w:gridCol w:w="146"/>
        <w:gridCol w:w="211"/>
        <w:gridCol w:w="676"/>
        <w:gridCol w:w="146"/>
        <w:gridCol w:w="146"/>
        <w:gridCol w:w="261"/>
        <w:gridCol w:w="431"/>
        <w:gridCol w:w="146"/>
        <w:gridCol w:w="146"/>
        <w:gridCol w:w="211"/>
        <w:gridCol w:w="676"/>
        <w:gridCol w:w="146"/>
        <w:gridCol w:w="146"/>
        <w:gridCol w:w="3045"/>
      </w:tblGrid>
      <w:tr>
        <w:trPr/>
        <w:tc>
          <w:tcPr>
            <w:tcW w:w="28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on Balance Sheet</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Company-owned life insurance policies</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current portion</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expenses and other current liabilities</w:t>
            </w:r>
          </w:p>
        </w:tc>
      </w:tr>
      <w:tr>
        <w:trPr/>
        <w:tc>
          <w:tcPr>
            <w:tcW w:w="28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 long-term portion</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long-term liabilities</w:t>
            </w:r>
          </w:p>
        </w:tc>
      </w:tr>
      <w:tr>
        <w:trPr/>
        <w:tc>
          <w:tcPr>
            <w:tcW w:w="28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RSUs</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Accrued salaries and benefits</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21" w:name="note_13_commitments_contingencies"/>
      <w:bookmarkEnd w:id="21"/>
      <w:r>
        <w:rPr>
          <w:rFonts w:ascii="Times New Roman" w:hAnsi="Times New Roman"/>
          <w:b/>
          <w:color w:val="000000"/>
          <w:sz w:val="20"/>
        </w:rPr>
        <w:t>NOTE 13 –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Letters of Credit and 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open standby letters of credit totaling $1.7 million at June 30, 2026 and $1.6 million at December 31, 2025. Open standby letters of credit issued by certain lenders totaling $1.6 million at both June 30, 2026 and December 31, 2025, respectively, reduce the Company’s borrowing capacity under the Previous Credit Agreement and the Amended and Restated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and December 31, 2025, the Company had $4.4 million and $7.0 million, respectively, of bank guarantees for facility leases and contract performance obligations.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 and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various legal matters and proceedings arising in the ordinary course of business. While these matters and proceedings cause it to incur costs, including, but not limited to, attorneys’ fees, the Company currently believes that any ultimate liability arising out of these matters and proceedings will not have a material adverse effect on its financial position, results of operations, or cash flows.</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22" w:name="note_15_segment_information"/>
      <w:bookmarkEnd w:id="22"/>
      <w:r>
        <w:rPr>
          <w:rFonts w:ascii="Times New Roman" w:hAnsi="Times New Roman"/>
          <w:b/>
          <w:color w:val="000000"/>
          <w:sz w:val="20"/>
        </w:rPr>
        <w:t xml:space="preserve">NOTE 14 </w:t>
      </w:r>
      <w:r>
        <w:rPr>
          <w:rFonts w:ascii="Times New Roman" w:hAnsi="Times New Roman"/>
          <w:color w:val="000000"/>
          <w:sz w:val="20"/>
        </w:rPr>
        <w:t xml:space="preserve">– </w:t>
      </w: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a broad array of professional services to its clients across several markets, primarily within the U.S. The Company operates as a single reportable and operating segment because the Chief Operating Decision Maker (the “CODM”), which is the Chief Executive Officer, manages the business activities on a consolidated basis. Although the Company disaggregates its revenue by client market and client type, it does not manage its business or allocate resources based on client market or type.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of the segment based on consolidated net income that is reported on the Company’s consolidated statements of comprehensive income. The CODM uses consolidated net income to evaluate the Company’s performance against budgets and decide whether to use the profits to invest in the business, paydown debt, repurchase stock, pay dividends, or fund acquisitions. Asset information provided to the CODM is not used for the purpose of making decisions and assessing performance of the Company.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segment revenue, significant segment expenses, and segment profit are as follows:</w:t>
      </w:r>
    </w:p>
    <w:tbl>
      <w:tblPr>
        <w:tblW w:w="10205" w:type="dxa"/>
        <w:jc w:val="left"/>
        <w:tblInd w:w="0" w:type="dxa"/>
        <w:tblLayout w:type="fixed"/>
        <w:tblCellMar>
          <w:top w:w="28" w:type="dxa"/>
          <w:left w:w="28" w:type="dxa"/>
          <w:bottom w:w="28" w:type="dxa"/>
          <w:right w:w="28" w:type="dxa"/>
        </w:tblCellMar>
      </w:tblPr>
      <w:tblGrid>
        <w:gridCol w:w="4590"/>
        <w:gridCol w:w="146"/>
        <w:gridCol w:w="234"/>
        <w:gridCol w:w="868"/>
        <w:gridCol w:w="162"/>
        <w:gridCol w:w="162"/>
        <w:gridCol w:w="234"/>
        <w:gridCol w:w="868"/>
        <w:gridCol w:w="146"/>
        <w:gridCol w:w="146"/>
        <w:gridCol w:w="218"/>
        <w:gridCol w:w="808"/>
        <w:gridCol w:w="151"/>
        <w:gridCol w:w="151"/>
        <w:gridCol w:w="218"/>
        <w:gridCol w:w="808"/>
        <w:gridCol w:w="295"/>
      </w:tblGrid>
      <w:tr>
        <w:trPr/>
        <w:tc>
          <w:tcPr>
            <w:tcW w:w="4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963,773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Significant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labor and related fringe benefit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378,070</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Subcontractors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121,365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222,897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Indirect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123,328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254,908</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 assets acquired in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Other segment expense </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Other segment expense includes interest income and gains/losses on foreign currency and disposition of assets.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NOTE 15 </w:t>
      </w:r>
      <w:r>
        <w:rPr>
          <w:rFonts w:ascii="Times New Roman" w:hAnsi="Times New Roman"/>
          <w:color w:val="000000"/>
          <w:sz w:val="20"/>
        </w:rPr>
        <w:t xml:space="preserve">– </w:t>
      </w: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2026 and December 31, 2025, accrued expenses and other current liabilities consisted of the following:</w:t>
      </w:r>
    </w:p>
    <w:tbl>
      <w:tblPr>
        <w:tblW w:w="8869" w:type="dxa"/>
        <w:jc w:val="left"/>
        <w:tblInd w:w="0" w:type="dxa"/>
        <w:tblLayout w:type="fixed"/>
        <w:tblCellMar>
          <w:top w:w="28" w:type="dxa"/>
          <w:left w:w="28" w:type="dxa"/>
          <w:bottom w:w="28" w:type="dxa"/>
          <w:right w:w="28" w:type="dxa"/>
        </w:tblCellMar>
      </w:tblPr>
      <w:tblGrid>
        <w:gridCol w:w="5386"/>
        <w:gridCol w:w="271"/>
        <w:gridCol w:w="1004"/>
        <w:gridCol w:w="146"/>
        <w:gridCol w:w="146"/>
        <w:gridCol w:w="409"/>
        <w:gridCol w:w="1316"/>
        <w:gridCol w:w="191"/>
      </w:tblGrid>
      <w:tr>
        <w:trPr/>
        <w:tc>
          <w:tcPr>
            <w:tcW w:w="53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advances and restricted funds</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collected not yet remitted to purchaser of billed receivables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16,906</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expenses and other current liabilities</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3" w:name="item_2___managements_discussion_analysis"/>
      <w:bookmarkEnd w:id="23"/>
      <w:r>
        <w:rPr>
          <w:rFonts w:ascii="Times New Roman" w:hAnsi="Times New Roman"/>
          <w:b/>
          <w:color w:val="000000"/>
          <w:sz w:val="20"/>
        </w:rPr>
        <w:t>Item 2. Management’s Discussion and Analysis</w:t>
      </w:r>
      <w:r>
        <w:rPr>
          <w:rFonts w:ascii="Times New Roman" w:hAnsi="Times New Roman"/>
          <w:color w:val="000000"/>
          <w:sz w:val="20"/>
        </w:rPr>
        <w:t xml:space="preserve"> </w:t>
      </w:r>
      <w:r>
        <w:rPr>
          <w:rFonts w:ascii="Times New Roman" w:hAnsi="Times New Roman"/>
          <w:b/>
          <w:color w:val="000000"/>
          <w:sz w:val="20"/>
        </w:rPr>
        <w:t>of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statements in this Quarterly Report on Form 10-Q (this “Quarterly Report”) constitute forward-looking statements as defined in the Private Securities Litigation Reform Act of 1995, as amended.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these statements by forward-looking words such as “anticipate,” “believe,” “could,” “estimate,” “expect,” “intend,” “may,” “plan,” “potential,” “should,” “will,” “would,” or similar words. You should read statements that contain these words carefully.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forward-looking statements are based on the beliefs and assumptions of our management and the information available to our management at the time these disclosures were prepared. Although we believe the expectations reflected in these statements are reasonable, we cannot guarantee future results, levels of activity, performance, or achievements. You should not place undue reliance on these forward-looking statements, which apply only as of the date of this Quarterly Report. We undertake no obligation to update these forward-looking statements, even if our situation changes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“we,” “our,” “us,” and “the Company,” as used throughout this Quarterly Report, refer to ICF International, Inc. and its subsidiaries, unless otherwise indicated. The terms “federal” or “federal government” refer to the U.S. federal government, and “state and local” or “state and local government” refer to U.S. state and local governments and the governments of U.S. territories. The following discussion and analysis is intended to help the reader understand our business, financial condition, results of operations, and liquidity and capital resources. You should read this discussion in conjunction with our consolidated financial statements and the related notes contained elsewhere in this Quarterly Report and our Annual Report on Form 10-K for the fiscal year ended December 31, 2025, filed with the SEC on February 27, 2026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 AND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professional services and technology-based solutions, including management, technology, and policy consulting and implementation services. We help our clients conceive, develop, implement, and improve solutions that address complex business, natural resource, social, technological, and public safety issues. Our clients include U.S. federal, state, local and international governments or their agencies, as well as commercial entities. Our services primarily support clients that operate in these key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Energy, Environment, Infrastructure, and Disaster Recovery;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and Social Programs;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Other Civilian &amp; Commercial.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services to our diverse client base that deliver value throughout the entire life cycle of a policy, program, project, or initiative. Our primary services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Advisory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 Implementation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Analytics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Digital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Engagement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in the long-term, demand for our services will continue to grow as government, industry, and other stakeholders seek to address critical long-term societal and natural resource issues due to heightened concerns about the environment and use of clean energy and energy efficiency, particularly as a result of increasing energy demand from data centers, cryptocurrency operations, and electrification of buildings and vehicles; health promotion, treatment, and cost control; the means by which healthcare can be delivered effectively on a cross-jurisdiction basis; natural disaster relief and rebuild efforts; and ongoing homeland security threats. In the wake of the major hurricanes that devastated communities in Texas, Florida, North Carolina, Louisiana, the U.S. Virgin Islands, and Puerto Rico, and the impact of wildfires in Hawaii, Oregon, and southern California, the affected areas remain in various stages of recovery efforts. We believe our prior and current experience with disaster relief and rebuild efforts, including after hurricanes (Katrina, Rita, Helene, and Milton) and Superstorm Sandy, and the wildfires in Oregon, put us in a favorable position to continue to provide recovery and housing assistance, and environmental and infrastructure solutions, including disaster mitigation, on behalf of federal departments and agencies, state, territorial, and local jurisdictions, and regional agencies.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the federal government continues to sharpen its focus on efficiency, transparency, consolidation, and accountability, we see growth opportunities for our fit-for-purpose technology solutions. Our offerings are innovative, agile, scalable, and aligned with commercial best practices, delivering clear and measurable outcomes. By combining deep institutional knowledge of our clients’ markets and data with our proven expertise in artificial intelligence, open source, cloud-native, and commercially available off the shelf low-code and no-code platforms, we are able to deliver highly functional, cost-effective solutions that meet the evolving demands of our customers while driving greater value and impact for taxpayers.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results will depend on the success of our strategy to enhance our client relationships and seek larger engagements that span the entire program life cycle, and to complete and successfully integrate additional strategic acquisitions. We will continue to focus on building scale in our vertical and horizontal domain expertise, developing business with our existing clients as well as new customers, and replicating our business model in selective geographies. In doing so, we will continue to evaluate strategic acquisition opportunities that enhance our subject matter knowledge, broaden our service offerings, gain access to or expand customer relationships, and/or provide scale in specific geographies.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continue to see favorable long-term market opportunities, there are certain business challenges facing all government service providers. The very nature of opportunities arising out of disaster recovery means they can involve unusual challenges. Factors such as the overall stress on communities and people affected by disaster recovery situations, political complexities, challenges among involved government agencies, and a higher-than-normal risk of audits and investigations may result in a reduction to our revenue and profit and adversely affect cash flow; however, we believe we are well positioned to provide a broad range of services in support of initiatives that will continue to be priorities to the federal government, as well as to state and local and international governments and commercial clients.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 AND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and policies from those disclosed in Part II, Item 7 of our Annual Report on Form 10-K for the fiscal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sets forth select line items of our unaudited consolidated statements of comprehensive income, the percentage of revenue for these select items, and the period-over-period rate of change and percentage of revenue for the periods indicated.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Three Months Ended June 30, 2026 Compared to 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6"/>
        <w:gridCol w:w="146"/>
        <w:gridCol w:w="211"/>
        <w:gridCol w:w="781"/>
        <w:gridCol w:w="166"/>
        <w:gridCol w:w="146"/>
        <w:gridCol w:w="211"/>
        <w:gridCol w:w="781"/>
        <w:gridCol w:w="166"/>
        <w:gridCol w:w="146"/>
        <w:gridCol w:w="149"/>
        <w:gridCol w:w="584"/>
        <w:gridCol w:w="292"/>
        <w:gridCol w:w="149"/>
        <w:gridCol w:w="149"/>
        <w:gridCol w:w="584"/>
        <w:gridCol w:w="285"/>
        <w:gridCol w:w="146"/>
        <w:gridCol w:w="213"/>
        <w:gridCol w:w="638"/>
        <w:gridCol w:w="167"/>
        <w:gridCol w:w="147"/>
        <w:gridCol w:w="163"/>
        <w:gridCol w:w="588"/>
        <w:gridCol w:w="621"/>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Percentages of Revenue</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Year-to-Year Change</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labor and related fringe benefit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2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Subcontractor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Direct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297,856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298,425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and selling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123,328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2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21"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 assets acquired in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2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Revenue for the three months ended June 30, 2026 was $474.5 million, which was comparable to the same period in 2025. The following were changes in revenue from our various client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Energy, Environment, Infrastructure, and Disaster Recovery client market revenues increased $2.6 million, or 1.0%, due to increases of $6.1 million and $1.4 million from our commercial and international government clients, respectively, offset by decreases of $4.2 million and $0.8 million from our U.S. state and local government and U.S. federal government clients,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and Social Programs client market revenues were comparable to the prior year, with increases of $9.2 million, $4.6 million, and $1.8 million from our international government, commercial, and U.S. state and local government clients, respectively, offset by a decrease of $15.5 million from our U.S. federal government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Other Civilian &amp; Commercial client market revenues decreased by $4.4 million, or 6.3%, due to decreases of $3.2 million, $1.5 million, and $0.3 million from our U.S. federal government, commercial, and international government clients, respectively, offset by an increase of $0.7 million from our U.S. state and local government 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for the three months ended June 30, 2026 includes subcontractor and other direct costs, which increased $9.1 million, or 8.1%, compared to 2025 and totaled $121.4 million and $112.3 million for the three months ended June 30, 2026 and 2025, respectively, and the margin on such costs. </w:t>
      </w:r>
    </w:p>
    <w:p>
      <w:pPr>
        <w:pStyle w:val="TextBody"/>
        <w:bidi w:val="0"/>
        <w:spacing w:before="120" w:after="283"/>
        <w:jc w:val="left"/>
        <w:rPr>
          <w:rFonts w:ascii="Times New Roman" w:hAnsi="Times New Roman"/>
          <w:sz w:val="20"/>
        </w:rPr>
      </w:pPr>
      <w:r>
        <w:rPr>
          <w:rFonts w:ascii="Times New Roman" w:hAnsi="Times New Roman"/>
          <w:b/>
          <w:i/>
          <w:color w:val="000000"/>
          <w:sz w:val="20"/>
        </w:rPr>
        <w:t>Direct Costs</w:t>
      </w:r>
      <w:r>
        <w:rPr>
          <w:rFonts w:ascii="Times New Roman" w:hAnsi="Times New Roman"/>
          <w:b/>
          <w:color w:val="000000"/>
          <w:sz w:val="20"/>
        </w:rPr>
        <w:t>.</w:t>
      </w:r>
      <w:r>
        <w:rPr>
          <w:rFonts w:ascii="Times New Roman" w:hAnsi="Times New Roman"/>
          <w:color w:val="000000"/>
          <w:sz w:val="20"/>
        </w:rPr>
        <w:t xml:space="preserve"> For the three months ended June 30, 2026 and 2025, direct costs totaled $297.9 million which was comparable to the same period in 2025. As a percentage of direct costs, direct labor and related fringe benefit costs were 59.3% and 62.4%, respectively, and subcontractor and other direct costs as a percentage of direct costs were 40.7% and 37.6%, respectively. As a percentage of revenue, direct labor and related fringe benefit costs were 37.2% and 39.1%, respectively, and subcontractor and other direct costs were 25.6% and 23.6%, respectively, for the three months ended June 30,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Indirect and selling expenses.</w:t>
      </w:r>
      <w:r>
        <w:rPr>
          <w:rFonts w:ascii="Times New Roman" w:hAnsi="Times New Roman"/>
          <w:color w:val="000000"/>
          <w:sz w:val="20"/>
        </w:rPr>
        <w:t xml:space="preserve"> Indirect and selling expenses for the three months ended June 30, 2026 totaled $123.3 million which was comparable to the same period in 2025. As a percentage of indirect and selling expenses, indirect labor and related fringe benefit costs were consistent at 75.2% and 74.7% for the three months ended June 30, 2026 and 2025, respectively, and general and administrative costs as a percentage of indirect and selling expenses were also consistent at 24.8% and 25.3% for the three months ended June 30, 2026 and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Depreciation and amortization</w:t>
      </w:r>
      <w:r>
        <w:rPr>
          <w:rFonts w:ascii="Times New Roman" w:hAnsi="Times New Roman"/>
          <w:b/>
          <w:color w:val="000000"/>
          <w:sz w:val="20"/>
        </w:rPr>
        <w:t>.</w:t>
      </w:r>
      <w:r>
        <w:rPr>
          <w:rFonts w:ascii="Times New Roman" w:hAnsi="Times New Roman"/>
          <w:color w:val="000000"/>
          <w:sz w:val="20"/>
        </w:rPr>
        <w:t xml:space="preserve"> Depreciation and amortization for the three months ended June 30, 2026 was $5.8 million which was comparable to $5.5 million for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of $1.6 million in amortization of intangible assets acquired in business combinations from $9.2 million for the three months ended June 30, 2025 to $7.6 million for the three months ended June 30, 2026 was primarily due to certain intangible assets previously acquired becoming fully amortized.</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net.</w:t>
      </w:r>
      <w:r>
        <w:rPr>
          <w:rFonts w:ascii="Times New Roman" w:hAnsi="Times New Roman"/>
          <w:color w:val="000000"/>
          <w:sz w:val="20"/>
        </w:rPr>
        <w:t xml:space="preserve"> The decrease of $1.7 million in interest, net, was primarily due to lower average debt balance of $459.8 million for the three months ended June 30, 2026 compared to $542.2 million for the same period in 2025. Interest from debt facilities was $5.7 million for the three months ended June 30, 2026, compared to $7.8 million for the three months ended June 30, 2025. Use of floating-to-fixed interest rate swap agreements to hedge the variable interest portion of debt facilities resulted in an increase of interest by less than $0.1 million for the three months ended June 30, 2026 compared to a reduction of $0.2 million for the same period in 2025. The average interest rate for our debt facilities was 4.9% for the three months ended June 30, 2026 compared to 5.7% for the same period in 2025. Inclusive of the impact of the swap agreements, our interest rate was 5.0% for the three months ended June 30, 2026 compared to 5.6% for the same period in 2025.</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Other expense. </w:t>
      </w:r>
      <w:r>
        <w:rPr>
          <w:rFonts w:ascii="Times New Roman" w:hAnsi="Times New Roman"/>
          <w:color w:val="000000"/>
          <w:sz w:val="20"/>
        </w:rPr>
        <w:t>The change in other expense for the three months ended June 30, 2026 as compared to 2025 was primarily due to foreign currency expense in 2026 of $0.3 million compared to $1.6 million in 2025.</w:t>
      </w:r>
    </w:p>
    <w:p>
      <w:pPr>
        <w:pStyle w:val="TextBody"/>
        <w:bidi w:val="0"/>
        <w:spacing w:before="120" w:after="120"/>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b/>
          <w:color w:val="000000"/>
          <w:sz w:val="20"/>
        </w:rPr>
        <w:t>.</w:t>
      </w:r>
      <w:r>
        <w:rPr>
          <w:rFonts w:ascii="Times New Roman" w:hAnsi="Times New Roman"/>
          <w:color w:val="000000"/>
          <w:sz w:val="20"/>
        </w:rPr>
        <w:t xml:space="preserve"> Our effective income tax rate for the three months ended June 30, 2026 and 2025 was 17.8% and 21.0%, respectively. The difference was primarily due to implementation of state tax planning strategies partially offset by valuation allowances on equity-based compensation assets and excess foreign tax credits.</w:t>
      </w:r>
    </w:p>
    <w:p>
      <w:pPr>
        <w:pStyle w:val="TextBody"/>
        <w:bidi w:val="0"/>
        <w:spacing w:before="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Six Months Ended June 30, 2026 Compared to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0"/>
        <w:gridCol w:w="146"/>
        <w:gridCol w:w="211"/>
        <w:gridCol w:w="781"/>
        <w:gridCol w:w="166"/>
        <w:gridCol w:w="146"/>
        <w:gridCol w:w="211"/>
        <w:gridCol w:w="781"/>
        <w:gridCol w:w="166"/>
        <w:gridCol w:w="146"/>
        <w:gridCol w:w="149"/>
        <w:gridCol w:w="583"/>
        <w:gridCol w:w="290"/>
        <w:gridCol w:w="149"/>
        <w:gridCol w:w="149"/>
        <w:gridCol w:w="583"/>
        <w:gridCol w:w="284"/>
        <w:gridCol w:w="146"/>
        <w:gridCol w:w="211"/>
        <w:gridCol w:w="736"/>
        <w:gridCol w:w="166"/>
        <w:gridCol w:w="146"/>
        <w:gridCol w:w="163"/>
        <w:gridCol w:w="588"/>
        <w:gridCol w:w="618"/>
      </w:tblGrid>
      <w:tr>
        <w:trPr/>
        <w:tc>
          <w:tcPr>
            <w:tcW w:w="2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Percentages of Revenue</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Year-to-Year Change</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(dollars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Direct labor and related fringe benefit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378,070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Subcontractor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Direct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568,493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and selling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intangible assets acquired in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 and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Revenue. </w:t>
      </w:r>
      <w:r>
        <w:rPr>
          <w:rFonts w:ascii="Times New Roman" w:hAnsi="Times New Roman"/>
          <w:color w:val="000000"/>
          <w:sz w:val="20"/>
        </w:rPr>
        <w:t>The decrease in revenue of $51.8 million was driven by a reduction of $76.2 million and $1.7 million from our U.S. federal government clients, primarily as a result of terminated contracts in the first six months of 2025 due to the Administration’s changing priorities and the actions recommended by the Department of Government Efficiency as well as the disruption of the typical U.S. federal government procurement cycle, and U.S. state and local government clients, respectively. This decline was offset by increases of $15.0 million and $11.1 million from our international government and commercial clients, respectively. The following were changes in revenue from our various client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Energy, Environment, Infrastructure, and Disaster Recovery client market revenues decreased $4.0 million, or 0.8%, driven by decreases of $12.1 million and $3.9 million from our U.S. federal government and U.S. state and local government clients, respectively, offset by increases of $8.7 million and $3.3 million from our commercial and international government clients,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and Social Programs client market revenues decreased $26.7 million, or 8.2%, driven by a decrease of $47.3 million from our U.S. federal government clients, offset by increases of $12.4 million, $6.9 million, and $1.3 million from our international government, commercial, and U.S. state and local government clients,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Other Civilian &amp; Commercial client market revenues decreased $21.0 million, or 14.1%, driven by decreases of $16.8 million, $4.4 million, and $0.7 million from our U.S. federal government, commercial, and international government clients, respectively, offset by an increase of $0.9 million from our U.S. state and local government 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six months ended June 30, 2026 includes subcontractor and other direct costs, which increased $1.1 million, or 0.5%, and totaled $224.0 million and $222.9 million for the six months ended June 30, 2026 and 2025, respectively, and the margin on such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Direct Costs.</w:t>
      </w:r>
      <w:r>
        <w:rPr>
          <w:rFonts w:ascii="Times New Roman" w:hAnsi="Times New Roman"/>
          <w:color w:val="000000"/>
          <w:sz w:val="20"/>
        </w:rPr>
        <w:t xml:space="preserve"> The decrease of $32.5 million in direct costs was primarily a result of terminated U.S. federal government contracts during the first six months of 2025. For the six months ended June 30, 2026 and 2025, direct labor and related fringe benefit costs as a percentage of direct costs were 60.6% and 62.9%, respectively, and subcontractor and other direct costs as a percentage of direct costs were 39.4% and 37.1%, respectively. As a percentage of revenue, direct labor and related fringe benefit costs were 37.8% and 39.2%, respectively, and subcontractor and other direct costs were 24.6% and 23.1%, respectively, for the six months ended June 30, 2026 and 2025. Total direct costs as a percentage of revenue were 62.3% for the six months ended June 30, 2026, compared to 62.4% for the six months ended June 30, 2025.</w:t>
      </w:r>
    </w:p>
    <w:p>
      <w:pPr>
        <w:pStyle w:val="TextBody"/>
        <w:bidi w:val="0"/>
        <w:spacing w:before="120" w:after="283"/>
        <w:jc w:val="left"/>
        <w:rPr>
          <w:rFonts w:ascii="Times New Roman" w:hAnsi="Times New Roman"/>
          <w:sz w:val="20"/>
        </w:rPr>
      </w:pPr>
      <w:r>
        <w:rPr>
          <w:rFonts w:ascii="Times New Roman" w:hAnsi="Times New Roman"/>
          <w:b/>
          <w:i/>
          <w:color w:val="000000"/>
          <w:sz w:val="20"/>
        </w:rPr>
        <w:t>Indirect and selling expenses.</w:t>
      </w:r>
      <w:r>
        <w:rPr>
          <w:rFonts w:ascii="Times New Roman" w:hAnsi="Times New Roman"/>
          <w:color w:val="000000"/>
          <w:sz w:val="20"/>
        </w:rPr>
        <w:t xml:space="preserve"> For the six months ended June 30, 2026, our indirect and selling expenses decreased by $12.8 million, or 5.0%, compared to the prior year, as a result of a decrease of $9.7 million and $3.1 million in indirect labor and related fringe benefit costs and general and administrative costs, respectively. The decreases were primarily from our efforts to align indirect and selling expenses to support our ongoing operations. As a percentage of revenue, indirect and selling expenses were 26.6% and 26.4% for the six months ended June 30, 2026 and 2025,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Depreciation and amortization. </w:t>
      </w:r>
      <w:r>
        <w:rPr>
          <w:rFonts w:ascii="Times New Roman" w:hAnsi="Times New Roman"/>
          <w:color w:val="000000"/>
          <w:sz w:val="20"/>
        </w:rPr>
        <w:t>Depreciation and amortization for the six months ended June 30, 2026 was $11.4 million which is comparable to depreciation and amortization of $10.8 million for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amortization of intangible assets acquired in business combinations was primarily due to certain intangible assets previously acquired becoming fully amortized.</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Interest, net. </w:t>
      </w:r>
      <w:r>
        <w:rPr>
          <w:rFonts w:ascii="Times New Roman" w:hAnsi="Times New Roman"/>
          <w:color w:val="000000"/>
          <w:sz w:val="20"/>
        </w:rPr>
        <w:t>The decrease of $2.3 million in interest, net, was primarily due to lower average debt balance of $456.7 million for the six months ended June 30, 2026 compared to $528.3 million for the same period in 2025. Interest from debt facilities was $11.4 million for the six months ended June 30, 2026, compared to $15.1 million for the six months ended June 30, 2025. Use of floating-to-fixed interest rate swap agreements to hedge the variable interest portion of debt facilities resulted in an increase of interest by less than $0.1 million for the six months ended June 30, 2026 compared to a reduction of $0.9 million for the same period in 2025. The average interest rate for our debt facilities was 5.0% for the six months ended June 30, 2026 compared to 5.7% for the same period in 2025. Inclusive of the impact of the swap agreements, our interest rate was 5.0% for the six months ended June 30, 2026 compared to 5.4% for the same period in 2025.</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Other expense. </w:t>
      </w:r>
      <w:r>
        <w:rPr>
          <w:rFonts w:ascii="Times New Roman" w:hAnsi="Times New Roman"/>
          <w:color w:val="000000"/>
          <w:sz w:val="20"/>
        </w:rPr>
        <w:t>The change in other expense for the six months ended June 30, 2026 as compared to 2025 was primarily due to lower foreign currency expense in 2026 of $0.5 million compared to $2.5 million in 2025, offset by higher losses from disposal of assets of $0.6 million in 2026 compared to $0.1 million in 2025.</w:t>
      </w:r>
    </w:p>
    <w:p>
      <w:pPr>
        <w:pStyle w:val="TextBody"/>
        <w:bidi w:val="0"/>
        <w:spacing w:before="120" w:after="120"/>
        <w:jc w:val="left"/>
        <w:rPr>
          <w:rFonts w:ascii="Times New Roman" w:hAnsi="Times New Roman"/>
          <w:sz w:val="20"/>
        </w:rPr>
      </w:pPr>
      <w:r>
        <w:rPr>
          <w:rFonts w:ascii="Times New Roman" w:hAnsi="Times New Roman"/>
          <w:b/>
          <w:i/>
          <w:color w:val="000000"/>
          <w:sz w:val="20"/>
        </w:rPr>
        <w:t xml:space="preserve">Provision for Income Taxes. </w:t>
      </w:r>
      <w:r>
        <w:rPr>
          <w:rFonts w:ascii="Times New Roman" w:hAnsi="Times New Roman"/>
          <w:color w:val="000000"/>
          <w:sz w:val="20"/>
        </w:rPr>
        <w:t>Our effective income tax rate for the six months ended June 30, 2026 and 2025 was 21.1% and 15.7%, respectively. The difference was primarily due to additional tax provision attributable to equity-based compensation and valuation allowances on equity-based compensation assets and excess foreign tax credits in 2026 compared with tax impact of implementation of the IRC Section 987 regulations and greater research tax credits in the first quarter of 2025.</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provide reconciliations of financial measures that are not calculated in accordance with generally accepted accounting principles in the U.S. (“non-GAAP”) to their most comparable U.S. GAAP measures. While we believe that these non-GAAP financial measures provide additional information to investors and may be useful in evaluating our financial information and assessing ongoing trends to better understand our operations, they should be considered supplemental in nature and not as a substitute for financial information prepared in accordance with U.S. GAAP. Other companies may define similarly titled non-GAAP measures differently, thus limiting their use for comparability.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EBITDA and 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Earnings before interest, tax, and depreciation and amortization (“EBITDA”) is a measure we use to evaluate operating performance. Adjusted EBITDA is EBITDA further adjusted to eliminate the impact of certain items that we do not consider to be indicative of the performance of our ongoing operations (“Adjusted EBITDA”). We evaluate these adjustments on an individual basis based on both the quantitative and qualitative aspects of the item, including their size and nature, as well as whether we expect them to recur as part of our normal business on a regular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are not intended to be measures of free cash flow as these measures do not include certain cash requirements such as interest payments, tax payments, capital expenditures, and debt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reconciliation of net income to EBITDA and Adjusted EBITDA for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4"/>
        <w:gridCol w:w="146"/>
        <w:gridCol w:w="211"/>
        <w:gridCol w:w="676"/>
        <w:gridCol w:w="146"/>
        <w:gridCol w:w="146"/>
        <w:gridCol w:w="211"/>
        <w:gridCol w:w="676"/>
        <w:gridCol w:w="166"/>
        <w:gridCol w:w="146"/>
        <w:gridCol w:w="211"/>
        <w:gridCol w:w="781"/>
        <w:gridCol w:w="146"/>
        <w:gridCol w:w="146"/>
        <w:gridCol w:w="211"/>
        <w:gridCol w:w="781"/>
        <w:gridCol w:w="391"/>
      </w:tblGrid>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Acquisition and divestiture-related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Severance and other costs related to staff realignment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Charges and adjustments related to facility consolidations and office closures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These are primarily third-party costs related to potential and/or closed acquisitions and integration of closed acquisitions.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These costs are due to involuntary employee termination benefits for (i) our officers and (ii) group of employees who have been notified that they will be terminated as part of a business reorganization or exit.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These charges and adjustments are related to previously exited leased facilities and the closure of certain international offices.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Diluted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diluted earnings per share (“Non-GAAP Diluted EPS”) represents diluted U.S. GAAP earnings per share (“U.S. GAAP Diluted EPS”) excluding the impact of the specific items noted above, amortization of acquired intangible assets, and the related income tax effects. While these adjustments may be recurring and not infrequent or unusual, we do not consider these adjustments to be indicative of the performance of our ongoing operations. We believe that the supplemental adjustments provide additional useful information to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a reconciliation of U.S. GAAP Diluted EPS to Non-GAAP Diluted EPS for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7"/>
        <w:gridCol w:w="146"/>
        <w:gridCol w:w="219"/>
        <w:gridCol w:w="548"/>
        <w:gridCol w:w="172"/>
        <w:gridCol w:w="152"/>
        <w:gridCol w:w="219"/>
        <w:gridCol w:w="548"/>
        <w:gridCol w:w="166"/>
        <w:gridCol w:w="146"/>
        <w:gridCol w:w="211"/>
        <w:gridCol w:w="526"/>
        <w:gridCol w:w="166"/>
        <w:gridCol w:w="146"/>
        <w:gridCol w:w="211"/>
        <w:gridCol w:w="526"/>
        <w:gridCol w:w="316"/>
      </w:tblGrid>
      <w:tr>
        <w:trPr/>
        <w:tc>
          <w:tcPr>
            <w:tcW w:w="5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GAAP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divestiture-related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other costs related to staff realignment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Charges and adjustments related to facility consolidations and office 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Amortization of intangible assets acquired in business combinations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tax effects of the adjustments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Non-GAAP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amortization of intangible assets acquired from business combinations totaled $7.6 million and $9.2 million for the three months ended June 30, 2026 and 2025, respectively, and $15.2 million and $18.7 million for the six months ended June 30, 2026 and 2025, respectively.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Income tax effects were calculated using the effective tax rate, adjusted for certain discrete items, if any, of 17.8% and 21.0% for the three months ended June 30, 2026 and 2025, respectively, and 21.1% and 23.1% for the six months ended June 30, 2026 and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Material Cash Requirements from Contractual Obligations. </w:t>
      </w:r>
      <w:r>
        <w:rPr>
          <w:rFonts w:ascii="Times New Roman" w:hAnsi="Times New Roman"/>
          <w:color w:val="000000"/>
          <w:sz w:val="20"/>
        </w:rPr>
        <w:t>Contractual obligations requiring material cash outflows primarily consist of payments related to operating and finance leases for facilities and equipment, as well as scheduled principal and interest payments under our Credit Facility. See “Note 4 – Leases” and “Note 5 – Long-Term Debt,” respectively, in the “Notes to Consolidated Financial Statements” in this Quarterly Report for additional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Borrowing Capacity</w:t>
      </w:r>
      <w:r>
        <w:rPr>
          <w:rFonts w:ascii="Times New Roman" w:hAnsi="Times New Roman"/>
          <w:b/>
          <w:color w:val="000000"/>
          <w:sz w:val="20"/>
        </w:rPr>
        <w:t>.</w:t>
      </w:r>
      <w:r>
        <w:rPr>
          <w:rFonts w:ascii="Times New Roman" w:hAnsi="Times New Roman"/>
          <w:color w:val="000000"/>
          <w:sz w:val="20"/>
        </w:rPr>
        <w:t xml:space="preserve"> In addition to cash and cash equivalents on hand and cash generated from operations, our primary source of liquidity is the Credit Facility with a syndicate of commercial banks, as described in “Note 5 – Long-Term Debt” in the “Notes to Consolidated Financial Statements” in this Quarterly Report. The Credit Facility requires that we remain in compliance with certain financial and non-financial covenants (as defined by the Credit Agreement, see “Note 5 – Long-Term Debt” in the “Notes to Consolidated Financial Statements” in this Quarterly Report for additional details). As of June 30, 2026, we remained in compliance with these covenants, and we had $586.4 million of unused borrowing capacity under the $600.0 million revolving line of credit and $400.0 million of unused delayed draw term loan facilities under the Credit Facility available to fund our ongoing operations, future acquisitions, dividend payments, and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floating-to-fixed interest rate swap agreements for a total notional value of $175.0 million to hedge a portion of our floating-rate debt under the Credit Facility. The interest rate swaps will expire in 2030, but we may consider entering into additional swap agreements prior to the expiration of these existing hedges. As of June 30, 2026, the percentage of our fixed-rate debt to total debt from the Credit Facility was 43%.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support services to the U.S. federal government and any prolonged federal government shutdown may affect our abilities to generate cash from that business to certain degrees. There are other conditions, such as the ongoing wars in Ukraine, instabilities in the Middle East, and volatility in global trade (including the imposition of tariffs), that create uncertainty in the global economy, which in turn may impact, among other things, our ability to generate positive cash flows from operations and our ability to successfully execute and fund key initiatives. However, our current belief is that the combination of internally generated funds, available bank borrowing capacity, and cash and cash equivalents on hand will provide the required liquidity and capital resources necessary to fund ongoing operations, customary capital expenditures, quarterly cash dividends, share repurchases, and organic growth. Additionally, we continuously analyze our capital structure to ensure we have capital to fund future strategic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continuously monitor the state of the financial markets to assess the availability of borrowing capacity under the Credit Facility and the cost of additional capital from both debt and equity markets. At present, we believe we will be able to continue to access these markets on commercially reasonable terms and conditions if we need additional capital in the near term.</w:t>
      </w:r>
    </w:p>
    <w:p>
      <w:pPr>
        <w:pStyle w:val="TextBody"/>
        <w:bidi w:val="0"/>
        <w:spacing w:before="12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We have historically paid quarterly cash dividends to our stockholders of record at $0.14 per share. Total dividend payments during the six months ended June 30, 2026 were $5.1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dividends declared thus far in 2026 are as follows:</w:t>
      </w:r>
    </w:p>
    <w:tbl>
      <w:tblPr>
        <w:tblW w:w="7787" w:type="dxa"/>
        <w:jc w:val="left"/>
        <w:tblInd w:w="0" w:type="dxa"/>
        <w:tblLayout w:type="fixed"/>
        <w:tblCellMar>
          <w:top w:w="28" w:type="dxa"/>
          <w:left w:w="28" w:type="dxa"/>
          <w:bottom w:w="28" w:type="dxa"/>
          <w:right w:w="28" w:type="dxa"/>
        </w:tblCellMar>
      </w:tblPr>
      <w:tblGrid>
        <w:gridCol w:w="2371"/>
        <w:gridCol w:w="146"/>
        <w:gridCol w:w="546"/>
        <w:gridCol w:w="1209"/>
        <w:gridCol w:w="146"/>
        <w:gridCol w:w="146"/>
        <w:gridCol w:w="1621"/>
        <w:gridCol w:w="146"/>
        <w:gridCol w:w="145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Dividend 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Dividend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r>
      <w:tr>
        <w:trPr/>
        <w:tc>
          <w:tcPr>
            <w:tcW w:w="23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14, 2026</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10, 2026</w:t>
            </w:r>
          </w:p>
        </w:tc>
      </w:tr>
      <w:tr>
        <w:trPr/>
        <w:tc>
          <w:tcPr>
            <w:tcW w:w="23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4,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9,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Cash Flow.</w:t>
      </w:r>
      <w:r>
        <w:rPr>
          <w:rFonts w:ascii="Times New Roman" w:hAnsi="Times New Roman"/>
          <w:color w:val="000000"/>
          <w:sz w:val="20"/>
        </w:rPr>
        <w:t xml:space="preserve"> The following table sets forth our sources and uses of cash for the six months ended June 30, 2026 and 2025:</w:t>
      </w:r>
    </w:p>
    <w:tbl>
      <w:tblPr>
        <w:tblW w:w="9269" w:type="dxa"/>
        <w:jc w:val="left"/>
        <w:tblInd w:w="0" w:type="dxa"/>
        <w:tblLayout w:type="fixed"/>
        <w:tblCellMar>
          <w:top w:w="28" w:type="dxa"/>
          <w:left w:w="28" w:type="dxa"/>
          <w:bottom w:w="28" w:type="dxa"/>
          <w:right w:w="28" w:type="dxa"/>
        </w:tblCellMar>
      </w:tblPr>
      <w:tblGrid>
        <w:gridCol w:w="6766"/>
        <w:gridCol w:w="146"/>
        <w:gridCol w:w="211"/>
        <w:gridCol w:w="736"/>
        <w:gridCol w:w="166"/>
        <w:gridCol w:w="146"/>
        <w:gridCol w:w="211"/>
        <w:gridCol w:w="676"/>
        <w:gridCol w:w="211"/>
      </w:tblGrid>
      <w:tr>
        <w:trPr/>
        <w:tc>
          <w:tcPr>
            <w:tcW w:w="6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our operations during the six months ended June 30, 2026 increased by $77.7 million compared to the same period in 2025 primarily due to lower taxes and interest payments and timing of cash advances related to certain energy incentive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for the six months ended June 30, 2026 decreased by $0.3 million compared to the same period in 2025 due to reduced purchases of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six months ended June 30, 2026 was higher than the same period in 2025 by $31.5 million primarily due to lower net borrowings and payment of costs related to the refinancing of our Credit Facility, partially offset by reduced share repurchases.</w:t>
      </w:r>
    </w:p>
    <w:p>
      <w:pPr>
        <w:pStyle w:val="TextBody"/>
        <w:bidi w:val="0"/>
        <w:spacing w:before="240" w:after="283"/>
        <w:jc w:val="left"/>
        <w:rPr>
          <w:rFonts w:ascii="Times New Roman" w:hAnsi="Times New Roman"/>
          <w:b/>
          <w:i/>
          <w:color w:val="000000"/>
          <w:sz w:val="20"/>
        </w:rPr>
      </w:pPr>
      <w:bookmarkStart w:id="24" w:name="item_3___quantitative_qualitative_disclo"/>
      <w:bookmarkEnd w:id="24"/>
      <w:r>
        <w:rPr>
          <w:rFonts w:ascii="Times New Roman" w:hAnsi="Times New Roman"/>
          <w:b/>
          <w:i/>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disclosures discussed in the section entitled “Quantitative and Qualitative Disclosures About Market Risk” in Part II, Item 7A of our Annual Report.</w:t>
      </w:r>
    </w:p>
    <w:p>
      <w:pPr>
        <w:pStyle w:val="TextBody"/>
        <w:bidi w:val="0"/>
        <w:spacing w:before="240" w:after="283"/>
        <w:jc w:val="left"/>
        <w:rPr>
          <w:rFonts w:ascii="Times New Roman" w:hAnsi="Times New Roman"/>
          <w:b/>
          <w:i/>
          <w:color w:val="000000"/>
          <w:sz w:val="20"/>
        </w:rPr>
      </w:pPr>
      <w:bookmarkStart w:id="25" w:name="item_4___controls_procedures"/>
      <w:bookmarkEnd w:id="25"/>
      <w:r>
        <w:rPr>
          <w:rFonts w:ascii="Times New Roman" w:hAnsi="Times New Roman"/>
          <w:b/>
          <w:i/>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Controls and Procedures and Internal Controls Over Financial Reporting</w:t>
      </w:r>
      <w:r>
        <w:rPr>
          <w:rFonts w:ascii="Times New Roman" w:hAnsi="Times New Roman"/>
          <w:b/>
          <w:color w:val="000000"/>
          <w:sz w:val="20"/>
        </w:rPr>
        <w:t>.</w:t>
      </w:r>
      <w:r>
        <w:rPr>
          <w:rFonts w:ascii="Times New Roman" w:hAnsi="Times New Roman"/>
          <w:color w:val="000000"/>
          <w:sz w:val="20"/>
        </w:rPr>
        <w:t xml:space="preserve"> Management, with the participation of our Chief Executive Officer and our Chief Financial Officer, have evaluated the effectiveness of the Company’s disclosure controls and procedures (as defined in Rules 13a-15(e) and 15d-15(e) of the Exchange Act of 1934, as amended) and have concluded that as of June 30, 2026, our disclosure controls and procedures were effective. There have been no significant changes in our internal controls over financial reporting during the quarterly period covered by this report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i_or_information"/>
      <w:bookmarkEnd w:id="26"/>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27" w:name="item_1___legal_proceedings_"/>
      <w:bookmarkEnd w:id="27"/>
      <w:r>
        <w:rPr>
          <w:rFonts w:ascii="Times New Roman" w:hAnsi="Times New Roman"/>
          <w:b/>
          <w:i/>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involved in various legal matters and proceedings arising in the ordinary course of business. While these matters and proceedings cause us to incur costs, including, but not limited to, attorneys’ fees, we currently believe that any ultimate liability arising out of these matters and proceedings will not have a material adverse effect on our financial position, results of operations, or cash flows. </w:t>
      </w:r>
    </w:p>
    <w:p>
      <w:pPr>
        <w:pStyle w:val="TextBody"/>
        <w:bidi w:val="0"/>
        <w:spacing w:before="240" w:after="283"/>
        <w:jc w:val="left"/>
        <w:rPr>
          <w:rFonts w:ascii="Times New Roman" w:hAnsi="Times New Roman"/>
          <w:sz w:val="20"/>
        </w:rPr>
      </w:pPr>
      <w:bookmarkStart w:id="28" w:name="item_1a_risk_factors_"/>
      <w:bookmarkEnd w:id="28"/>
      <w:r>
        <w:rPr>
          <w:rFonts w:ascii="Times New Roman" w:hAnsi="Times New Roman"/>
          <w:b/>
          <w:i/>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the risk factors discussed in the section entitled “Risk Factors” disclosed in Part I, Item 1A of our Annual Report.</w:t>
      </w:r>
    </w:p>
    <w:p>
      <w:pPr>
        <w:pStyle w:val="TextBody"/>
        <w:bidi w:val="0"/>
        <w:spacing w:before="240" w:after="283"/>
        <w:jc w:val="left"/>
        <w:rPr>
          <w:rFonts w:ascii="Times New Roman" w:hAnsi="Times New Roman"/>
          <w:sz w:val="20"/>
        </w:rPr>
      </w:pPr>
      <w:bookmarkStart w:id="29" w:name="item_2___unregistered_sales_equity_secur"/>
      <w:bookmarkEnd w:id="29"/>
      <w:r>
        <w:rPr>
          <w:rFonts w:ascii="Times New Roman" w:hAnsi="Times New Roman"/>
          <w:b/>
          <w:i/>
          <w:color w:val="000000"/>
          <w:sz w:val="20"/>
        </w:rPr>
        <w:t>Item 2. Unregistered Sales of Equity Securities, Use of Proceeds, and Issuer Purchases of Equity Securities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During the quarter ended June 30, 2026, our Board of Directors (the “Board”) approved an increase of $100.0 million to the existing share repurchase program, increasing the aggregate authorization under the program from $300 million to $400 million.</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we repurchased 217,542 shares under our share repurchase program at an aggregate price of $14.1 million. As of June 30, 2026, $164.8 million of repurchase authority remained available for future approved share repurchases.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timing and extent of our share repurchases will depend upon the approval by our Board, market conditions, and other corporate considerations. Repurchases are funded from our existing cash balances and/or borrowings, and repurchased shares are held as treasury stock.</w:t>
      </w:r>
    </w:p>
    <w:p>
      <w:pPr>
        <w:pStyle w:val="TextBody"/>
        <w:bidi w:val="0"/>
        <w:spacing w:before="0" w:after="120"/>
        <w:jc w:val="left"/>
        <w:rPr>
          <w:rFonts w:ascii="Times New Roman" w:hAnsi="Times New Roman"/>
          <w:sz w:val="20"/>
        </w:rPr>
      </w:pPr>
      <w:r>
        <w:rPr>
          <w:rFonts w:ascii="Times New Roman" w:hAnsi="Times New Roman"/>
          <w:b/>
          <w:i/>
          <w:color w:val="000000"/>
          <w:sz w:val="20"/>
        </w:rPr>
        <w:t xml:space="preserve">Repurchases of Equity Securities. </w:t>
      </w:r>
      <w:r>
        <w:rPr>
          <w:rFonts w:ascii="Times New Roman" w:hAnsi="Times New Roman"/>
          <w:color w:val="000000"/>
          <w:sz w:val="20"/>
        </w:rPr>
        <w:t>The following table summarizes the share repurchase activity for the three months ended June 30, 2026, including shares purchased in satisfaction of employee tax withholding obligations related to the settlement of restricted stock units.</w:t>
      </w:r>
    </w:p>
    <w:tbl>
      <w:tblPr>
        <w:tblW w:w="8214" w:type="dxa"/>
        <w:jc w:val="left"/>
        <w:tblInd w:w="0" w:type="dxa"/>
        <w:tblLayout w:type="fixed"/>
        <w:tblCellMar>
          <w:top w:w="28" w:type="dxa"/>
          <w:left w:w="28" w:type="dxa"/>
          <w:bottom w:w="28" w:type="dxa"/>
          <w:right w:w="28" w:type="dxa"/>
        </w:tblCellMar>
      </w:tblPr>
      <w:tblGrid>
        <w:gridCol w:w="1381"/>
        <w:gridCol w:w="146"/>
        <w:gridCol w:w="208"/>
        <w:gridCol w:w="992"/>
        <w:gridCol w:w="146"/>
        <w:gridCol w:w="146"/>
        <w:gridCol w:w="320"/>
        <w:gridCol w:w="835"/>
        <w:gridCol w:w="146"/>
        <w:gridCol w:w="146"/>
        <w:gridCol w:w="295"/>
        <w:gridCol w:w="1400"/>
        <w:gridCol w:w="146"/>
        <w:gridCol w:w="146"/>
        <w:gridCol w:w="239"/>
        <w:gridCol w:w="1231"/>
        <w:gridCol w:w="2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Total Number</w:t>
              <w:br/>
              <w:t>of Shares</w:t>
              <w:br/>
              <w:t>Purchased</w:t>
            </w:r>
            <w:r>
              <w:rPr>
                <w:rFonts w:ascii="Times New Roman" w:hAnsi="Times New Roman"/>
                <w:color w:val="000000"/>
                <w:sz w:val="18"/>
              </w:rPr>
              <w:t>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w:t>
              <w:br/>
              <w:t>Paid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 as</w:t>
              <w:br/>
              <w:t>Part of Publicly</w:t>
              <w:br/>
              <w:t>Announced 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Approximate</w:t>
              <w:br/>
              <w:t>Dollar Value of</w:t>
              <w:br/>
              <w:t>Shares that May</w:t>
              <w:br/>
              <w:t>Yet Be Purchased</w:t>
              <w:br/>
              <w:t>Under the Plans</w:t>
              <w:br/>
              <w:t xml:space="preserve">or Programs </w:t>
            </w:r>
            <w:r>
              <w:rPr>
                <w:rFonts w:ascii="Times New Roman" w:hAnsi="Times New Roman"/>
                <w:b/>
                <w:color w:val="000000"/>
                <w:sz w:val="12"/>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 April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78,049,488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65,775,052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1 -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164,778,539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The total number of shares purchased includes shares purchased from employees to pay required withholding taxes related to the settlement of restricted stock units in accordance with our applicable long-term incentive plan. During the three months ended June 30, 2026, we repurchased 558 shares of common stock from employees in satisfaction of tax withholding obligations at an average price of $66.22 per share.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current share repurchase program authorizes share repurchases in the aggregate up to $400.0 million. Our Credit Facility permits annual share repurchases of at least $25.0 million; provided that the Company is not in default of its covenants, and higher amounts provided that our Consolidated Net Leverage Ratio (as defined in the Amended and Restated Credit Agreement) prior to and after giving effect to such repurchases is 0.50 to 1.00 less than the then-applicable maximum Consolidated Net Leverage Ratio and subject to a net liquidity of $100.0 million.</w:t>
      </w:r>
    </w:p>
    <w:p>
      <w:pPr>
        <w:pStyle w:val="TextBody"/>
        <w:bidi w:val="0"/>
        <w:jc w:val="left"/>
        <w:rPr/>
      </w:pPr>
      <w:r>
        <w:rPr/>
        <w:t> </w:t>
      </w:r>
    </w:p>
    <w:p>
      <w:pPr>
        <w:pStyle w:val="TextBody"/>
        <w:bidi w:val="0"/>
        <w:spacing w:before="240" w:after="283"/>
        <w:jc w:val="left"/>
        <w:rPr>
          <w:rFonts w:ascii="Times New Roman" w:hAnsi="Times New Roman"/>
          <w:sz w:val="20"/>
        </w:rPr>
      </w:pPr>
      <w:bookmarkStart w:id="30" w:name="item_3___defaults_upon_senior_securities"/>
      <w:bookmarkEnd w:id="30"/>
      <w:r>
        <w:rPr>
          <w:rFonts w:ascii="Times New Roman" w:hAnsi="Times New Roman"/>
          <w:b/>
          <w:i/>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31" w:name="item_4___mine_safety_disclosures_"/>
      <w:bookmarkEnd w:id="31"/>
      <w:r>
        <w:rPr>
          <w:rFonts w:ascii="Times New Roman" w:hAnsi="Times New Roman"/>
          <w:b/>
          <w:i/>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32" w:name="item_5___or_information_"/>
      <w:bookmarkEnd w:id="32"/>
      <w:r>
        <w:rPr>
          <w:rFonts w:ascii="Times New Roman" w:hAnsi="Times New Roman"/>
          <w:b/>
          <w:i/>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3" w:name="item_6_exhibits_"/>
      <w:bookmarkEnd w:id="33"/>
      <w:r>
        <w:rPr>
          <w:rFonts w:ascii="Times New Roman" w:hAnsi="Times New Roman"/>
          <w:b/>
          <w:i/>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6"/>
        <w:gridCol w:w="146"/>
        <w:gridCol w:w="9343"/>
      </w:tblGrid>
      <w:tr>
        <w:trPr/>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3" w:type="dxa"/>
            <w:tcBorders/>
            <w:vAlign w:val="center"/>
          </w:tcPr>
          <w:p>
            <w:pPr>
              <w:pStyle w:val="TableContents"/>
              <w:bidi w:val="0"/>
              <w:spacing w:before="0" w:after="283"/>
              <w:jc w:val="left"/>
              <w:rPr>
                <w:sz w:val="4"/>
                <w:szCs w:val="4"/>
              </w:rPr>
            </w:pPr>
            <w:r>
              <w:rPr>
                <w:sz w:val="4"/>
                <w:szCs w:val="4"/>
              </w:rPr>
            </w:r>
          </w:p>
        </w:tc>
      </w:tr>
      <w:tr>
        <w:trPr/>
        <w:tc>
          <w:tcPr>
            <w:tcW w:w="716"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Credit Agreement, dated April 10, 2026 (Incorporated by reference to Exhibit 10.1 to the Company’s Form 8-K, filed April 16, 2026).</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80"/>
                  <w:sz w:val="20"/>
                  <w:u w:val="single"/>
                </w:rPr>
                <w:t>ICF International, Inc. 2026 Omnibus Incentive Plan (incorporated by reference to Exhibit A of the Registrant’s Proxy Statement on Schedule 14A, filed with the SEC on April 22, 2026, relating to the Registrant’s Annual Meeting of Stockholders held on June 2, 2026)</w:t>
              </w:r>
            </w:hyperlink>
            <w:r>
              <w:rPr>
                <w:rFonts w:ascii="Times New Roman" w:hAnsi="Times New Roman"/>
                <w:color w:val="0000FF"/>
                <w:sz w:val="20"/>
                <w:u w:val="single"/>
              </w:rPr>
              <w:t>.</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pPr>
            <w:hyperlink w:anchor="icfi-ex31_1.htm">
              <w:r>
                <w:rPr>
                  <w:rStyle w:val="InternetLink"/>
                  <w:rFonts w:ascii="Times New Roman" w:hAnsi="Times New Roman"/>
                  <w:color w:val="0000FF"/>
                  <w:sz w:val="20"/>
                  <w:u w:val="single"/>
                </w:rPr>
                <w:t>Certificate of the Principal Executive Officer Pursuant to Exchange Act Rule 13a-14(a) and 15d-14(a).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pPr>
            <w:hyperlink w:anchor="icfi-ex31_2.htm">
              <w:r>
                <w:rPr>
                  <w:rStyle w:val="InternetLink"/>
                  <w:rFonts w:ascii="Times New Roman" w:hAnsi="Times New Roman"/>
                  <w:color w:val="0000FF"/>
                  <w:sz w:val="20"/>
                  <w:u w:val="single"/>
                </w:rPr>
                <w:t>Certificate of the Principal Financial Officer Pursuant to Exchange Act Rule 13a-14(a) and 15d-14(a).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pPr>
            <w:hyperlink w:anchor="icfi-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pPr>
            <w:hyperlink w:anchor="icfi-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 *</w:t>
              </w:r>
            </w:hyperlink>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following materials from the ICF International, Inc. Quarterly Report on Form 10-Q for the quarter ended June 30, 2026 formatted in Inline eXtensible Business Reporting Language (iXBRL): (i) Consolidated Balance Sheets, (ii) Consolidated Statements of Comprehensive Income, (iii) Consolidated Statements of Stockholders’ Equity, (iv) Consolidated Statements of Cash Flows and (v) Notes to Consolidated Financial Statements.* </w:t>
            </w:r>
          </w:p>
        </w:tc>
      </w:tr>
      <w:tr>
        <w:trPr/>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Submitted electronically herewith.</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129" w:type="dxa"/>
        <w:jc w:val="left"/>
        <w:tblInd w:w="0" w:type="dxa"/>
        <w:tblLayout w:type="fixed"/>
        <w:tblCellMar>
          <w:top w:w="28" w:type="dxa"/>
          <w:left w:w="28" w:type="dxa"/>
          <w:bottom w:w="28" w:type="dxa"/>
          <w:right w:w="28" w:type="dxa"/>
        </w:tblCellMar>
      </w:tblPr>
      <w:tblGrid>
        <w:gridCol w:w="1366"/>
        <w:gridCol w:w="406"/>
        <w:gridCol w:w="146"/>
        <w:gridCol w:w="3211"/>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ICF INTERNATIONAL, INC.</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Wasson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Wasson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Chief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and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icfi-ex31_1.htm"/>
      <w:bookmarkStart w:id="35" w:name="ksicfiex31_1"/>
      <w:bookmarkEnd w:id="34"/>
      <w:bookmarkEnd w:id="3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Wasson, Chair and Chief Executive Officer of the registrant,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ICF International,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386" w:type="dxa"/>
        <w:jc w:val="left"/>
        <w:tblInd w:w="0" w:type="dxa"/>
        <w:tblLayout w:type="fixed"/>
        <w:tblCellMar>
          <w:top w:w="28" w:type="dxa"/>
          <w:left w:w="28" w:type="dxa"/>
          <w:bottom w:w="28" w:type="dxa"/>
          <w:right w:w="28" w:type="dxa"/>
        </w:tblCellMar>
      </w:tblPr>
      <w:tblGrid>
        <w:gridCol w:w="1366"/>
        <w:gridCol w:w="109"/>
        <w:gridCol w:w="291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John Wasson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Wasson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Chief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icfi-ex31_2.htm"/>
      <w:bookmarkStart w:id="37" w:name="ksicfiex31_2"/>
      <w:bookmarkEnd w:id="36"/>
      <w:bookmarkEnd w:id="3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James Morgan, Chief Operating and Financial Officer of the registrant,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ICF International,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686" w:type="dxa"/>
        <w:jc w:val="left"/>
        <w:tblInd w:w="0" w:type="dxa"/>
        <w:tblLayout w:type="fixed"/>
        <w:tblCellMar>
          <w:top w:w="28" w:type="dxa"/>
          <w:left w:w="28" w:type="dxa"/>
          <w:bottom w:w="28" w:type="dxa"/>
          <w:right w:w="28" w:type="dxa"/>
        </w:tblCellMar>
      </w:tblPr>
      <w:tblGrid>
        <w:gridCol w:w="1366"/>
        <w:gridCol w:w="109"/>
        <w:gridCol w:w="321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and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8" w:name="icfi-ex32_1.htm"/>
      <w:bookmarkStart w:id="39" w:name="ksicfiex32_1"/>
      <w:bookmarkEnd w:id="38"/>
      <w:bookmarkEnd w:id="39"/>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(18 U.S.C.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June 30, 2026 (the “Report”) of ICF International, Inc. (the “Registrant”), as filed with the Securities and Exchange Commission on the date hereof, I, John Wasson, Chair and Chief Executive Officer of the Registrant, hereby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4423" w:type="dxa"/>
        <w:jc w:val="left"/>
        <w:tblInd w:w="0" w:type="dxa"/>
        <w:tblLayout w:type="fixed"/>
        <w:tblCellMar>
          <w:top w:w="28" w:type="dxa"/>
          <w:left w:w="28" w:type="dxa"/>
          <w:bottom w:w="28" w:type="dxa"/>
          <w:right w:w="28" w:type="dxa"/>
        </w:tblCellMar>
      </w:tblPr>
      <w:tblGrid>
        <w:gridCol w:w="1366"/>
        <w:gridCol w:w="146"/>
        <w:gridCol w:w="291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Wasson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Wasson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and Chief Executive Officer</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icfi-ex32_2.htm"/>
      <w:bookmarkStart w:id="41" w:name="ksicfiex32_2"/>
      <w:bookmarkEnd w:id="40"/>
      <w:bookmarkEnd w:id="41"/>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(18 U.S.C.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June 30, 2026 (the “Report”) of ICF International, Inc. (the “Registrant”), as filed with the Securities and Exchange Commission on the date hereof, I, James Morgan, Chief Operating and Financial Officer of the Registrant, hereby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4723" w:type="dxa"/>
        <w:jc w:val="left"/>
        <w:tblInd w:w="0" w:type="dxa"/>
        <w:tblLayout w:type="fixed"/>
        <w:tblCellMar>
          <w:top w:w="28" w:type="dxa"/>
          <w:left w:w="28" w:type="dxa"/>
          <w:bottom w:w="28" w:type="dxa"/>
          <w:right w:w="28" w:type="dxa"/>
        </w:tblCellMar>
      </w:tblPr>
      <w:tblGrid>
        <w:gridCol w:w="1366"/>
        <w:gridCol w:w="146"/>
        <w:gridCol w:w="321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Morgan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Morgan</w:t>
            </w:r>
          </w:p>
        </w:tc>
      </w:tr>
      <w:tr>
        <w:trPr/>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Operating and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2004/000143774926012565/ex_945516.htm" TargetMode="External"/><Relationship Id="rId3" Type="http://schemas.openxmlformats.org/officeDocument/2006/relationships/hyperlink" Target="https://www.sec.gov/Archives/edgar/data/1362004/000114036126016102/ny20066983x1_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13922</Words>
  <Characters>75710</Characters>
  <CharactersWithSpaces>91355</CharactersWithSpaces>
  <Paragraphs>7163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